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D94E5" w14:textId="77777777" w:rsidR="00112D9B" w:rsidRPr="00112D9B" w:rsidRDefault="00112D9B" w:rsidP="00112D9B">
      <w:pPr>
        <w:keepNext/>
        <w:keepLines/>
        <w:spacing w:before="360" w:after="80"/>
        <w:jc w:val="center"/>
        <w:outlineLvl w:val="0"/>
        <w:rPr>
          <w:rFonts w:asciiTheme="majorHAnsi" w:eastAsiaTheme="majorEastAsia" w:hAnsiTheme="majorHAnsi" w:cstheme="majorBidi"/>
          <w:b/>
          <w:bCs/>
          <w:sz w:val="40"/>
          <w:szCs w:val="40"/>
        </w:rPr>
      </w:pPr>
      <w:r w:rsidRPr="00112D9B">
        <w:rPr>
          <w:rFonts w:asciiTheme="majorHAnsi" w:eastAsiaTheme="majorEastAsia" w:hAnsiTheme="majorHAnsi" w:cstheme="majorBidi"/>
          <w:b/>
          <w:bCs/>
          <w:sz w:val="40"/>
          <w:szCs w:val="40"/>
        </w:rPr>
        <w:t>2026</w:t>
      </w:r>
      <w:r w:rsidRPr="00112D9B">
        <w:rPr>
          <w:rFonts w:asciiTheme="majorHAnsi" w:eastAsiaTheme="majorEastAsia" w:hAnsiTheme="majorHAnsi" w:cstheme="majorBidi"/>
          <w:b/>
          <w:bCs/>
          <w:sz w:val="40"/>
          <w:szCs w:val="40"/>
        </w:rPr>
        <w:fldChar w:fldCharType="begin"/>
      </w:r>
      <w:r w:rsidRPr="00112D9B">
        <w:rPr>
          <w:rFonts w:asciiTheme="majorHAnsi" w:eastAsiaTheme="majorEastAsia" w:hAnsiTheme="majorHAnsi" w:cstheme="majorBidi"/>
          <w:b/>
          <w:bCs/>
          <w:sz w:val="40"/>
          <w:szCs w:val="40"/>
        </w:rPr>
        <w:instrText xml:space="preserve"> FILLIN   \* MERGEFORMAT </w:instrText>
      </w:r>
      <w:r w:rsidRPr="00112D9B">
        <w:rPr>
          <w:rFonts w:asciiTheme="majorHAnsi" w:eastAsiaTheme="majorEastAsia" w:hAnsiTheme="majorHAnsi" w:cstheme="majorBidi"/>
          <w:b/>
          <w:bCs/>
          <w:sz w:val="40"/>
          <w:szCs w:val="40"/>
        </w:rPr>
        <w:fldChar w:fldCharType="separate"/>
      </w:r>
      <w:r w:rsidRPr="00112D9B">
        <w:rPr>
          <w:rFonts w:asciiTheme="majorHAnsi" w:eastAsiaTheme="majorEastAsia" w:hAnsiTheme="majorHAnsi" w:cstheme="majorBidi"/>
          <w:b/>
          <w:bCs/>
          <w:sz w:val="40"/>
          <w:szCs w:val="40"/>
        </w:rPr>
        <w:fldChar w:fldCharType="end"/>
      </w:r>
      <w:r w:rsidRPr="00112D9B">
        <w:rPr>
          <w:rFonts w:asciiTheme="majorHAnsi" w:eastAsiaTheme="majorEastAsia" w:hAnsiTheme="majorHAnsi" w:cstheme="majorBidi"/>
          <w:b/>
          <w:bCs/>
          <w:sz w:val="40"/>
          <w:szCs w:val="40"/>
        </w:rPr>
        <w:fldChar w:fldCharType="begin"/>
      </w:r>
      <w:r w:rsidRPr="00112D9B">
        <w:rPr>
          <w:rFonts w:asciiTheme="majorHAnsi" w:eastAsiaTheme="majorEastAsia" w:hAnsiTheme="majorHAnsi" w:cstheme="majorBidi"/>
          <w:b/>
          <w:bCs/>
          <w:sz w:val="40"/>
          <w:szCs w:val="40"/>
        </w:rPr>
        <w:instrText xml:space="preserve"> FILLIN  "Enter the current year" \o  \* MERGEFORMAT </w:instrText>
      </w:r>
      <w:r w:rsidRPr="00112D9B">
        <w:rPr>
          <w:rFonts w:asciiTheme="majorHAnsi" w:eastAsiaTheme="majorEastAsia" w:hAnsiTheme="majorHAnsi" w:cstheme="majorBidi"/>
          <w:b/>
          <w:bCs/>
          <w:sz w:val="40"/>
          <w:szCs w:val="40"/>
        </w:rPr>
        <w:fldChar w:fldCharType="separate"/>
      </w:r>
      <w:r w:rsidRPr="00112D9B">
        <w:rPr>
          <w:rFonts w:asciiTheme="majorHAnsi" w:eastAsiaTheme="majorEastAsia" w:hAnsiTheme="majorHAnsi" w:cstheme="majorBidi"/>
          <w:b/>
          <w:bCs/>
          <w:sz w:val="40"/>
          <w:szCs w:val="40"/>
        </w:rPr>
        <w:fldChar w:fldCharType="end"/>
      </w:r>
      <w:r w:rsidRPr="00112D9B">
        <w:rPr>
          <w:rFonts w:asciiTheme="majorHAnsi" w:eastAsiaTheme="majorEastAsia" w:hAnsiTheme="majorHAnsi" w:cstheme="majorBidi"/>
          <w:b/>
          <w:bCs/>
          <w:sz w:val="40"/>
          <w:szCs w:val="40"/>
        </w:rPr>
        <w:t xml:space="preserve"> Consumer Confidence Report</w:t>
      </w:r>
    </w:p>
    <w:p w14:paraId="159EF7A8" w14:textId="1958F5D6" w:rsidR="00D22DFC" w:rsidRDefault="00D22DFC" w:rsidP="00112D9B">
      <w:pPr>
        <w:keepNext/>
        <w:keepLines/>
        <w:spacing w:before="360" w:after="80"/>
        <w:jc w:val="center"/>
        <w:outlineLvl w:val="0"/>
        <w:rPr>
          <w:rFonts w:asciiTheme="majorHAnsi" w:eastAsiaTheme="majorEastAsia" w:hAnsiTheme="majorHAnsi" w:cstheme="majorBidi"/>
          <w:color w:val="0F4761" w:themeColor="accent1" w:themeShade="BF"/>
          <w:sz w:val="36"/>
          <w:szCs w:val="36"/>
        </w:rPr>
      </w:pPr>
      <w:r>
        <w:rPr>
          <w:rFonts w:asciiTheme="majorHAnsi" w:eastAsiaTheme="majorEastAsia" w:hAnsiTheme="majorHAnsi" w:cstheme="majorBidi"/>
          <w:color w:val="0F4761" w:themeColor="accent1" w:themeShade="BF"/>
          <w:sz w:val="36"/>
          <w:szCs w:val="36"/>
        </w:rPr>
        <w:t xml:space="preserve">Grasmere Village Precinct PWS </w:t>
      </w:r>
      <w:r w:rsidRPr="00D22DFC">
        <w:rPr>
          <w:rFonts w:asciiTheme="majorHAnsi" w:eastAsiaTheme="majorEastAsia" w:hAnsiTheme="majorHAnsi" w:cstheme="majorBidi"/>
          <w:color w:val="0F4761" w:themeColor="accent1" w:themeShade="BF"/>
        </w:rPr>
        <w:t>#0911020</w:t>
      </w:r>
    </w:p>
    <w:p w14:paraId="391C3B91" w14:textId="0C7079E1" w:rsidR="00D22DFC" w:rsidRDefault="00D22DFC" w:rsidP="00112D9B">
      <w:pPr>
        <w:keepNext/>
        <w:keepLines/>
        <w:spacing w:before="360" w:after="80"/>
        <w:jc w:val="center"/>
        <w:outlineLvl w:val="0"/>
        <w:rPr>
          <w:rFonts w:asciiTheme="majorHAnsi" w:eastAsiaTheme="majorEastAsia" w:hAnsiTheme="majorHAnsi" w:cstheme="majorBidi"/>
          <w:color w:val="0F4761" w:themeColor="accent1" w:themeShade="BF"/>
          <w:sz w:val="36"/>
          <w:szCs w:val="36"/>
        </w:rPr>
      </w:pPr>
      <w:r>
        <w:rPr>
          <w:rFonts w:asciiTheme="majorHAnsi" w:eastAsiaTheme="majorEastAsia" w:hAnsiTheme="majorHAnsi" w:cstheme="majorBidi"/>
          <w:color w:val="0F4761" w:themeColor="accent1" w:themeShade="BF"/>
          <w:sz w:val="36"/>
          <w:szCs w:val="36"/>
        </w:rPr>
        <w:t xml:space="preserve">Landmark Lane </w:t>
      </w:r>
      <w:r w:rsidRPr="00D22DFC">
        <w:rPr>
          <w:rFonts w:asciiTheme="majorHAnsi" w:eastAsiaTheme="majorEastAsia" w:hAnsiTheme="majorHAnsi" w:cstheme="majorBidi"/>
          <w:color w:val="0F4761" w:themeColor="accent1" w:themeShade="BF"/>
        </w:rPr>
        <w:t>PWS #0911030</w:t>
      </w:r>
    </w:p>
    <w:p w14:paraId="3085D794" w14:textId="520061B6" w:rsidR="00112D9B" w:rsidRPr="00112D9B" w:rsidRDefault="00112D9B" w:rsidP="00112D9B">
      <w:pPr>
        <w:keepNext/>
        <w:keepLines/>
        <w:spacing w:before="360" w:after="80"/>
        <w:jc w:val="center"/>
        <w:outlineLvl w:val="0"/>
        <w:rPr>
          <w:rFonts w:asciiTheme="majorHAnsi" w:eastAsiaTheme="majorEastAsia" w:hAnsiTheme="majorHAnsi" w:cstheme="majorBidi"/>
          <w:color w:val="0F4761" w:themeColor="accent1" w:themeShade="BF"/>
          <w:sz w:val="36"/>
          <w:szCs w:val="36"/>
        </w:rPr>
      </w:pPr>
      <w:r w:rsidRPr="00112D9B">
        <w:rPr>
          <w:rFonts w:asciiTheme="majorHAnsi" w:eastAsiaTheme="majorEastAsia" w:hAnsiTheme="majorHAnsi" w:cstheme="majorBidi"/>
          <w:color w:val="0F4761" w:themeColor="accent1" w:themeShade="BF"/>
          <w:sz w:val="36"/>
          <w:szCs w:val="36"/>
        </w:rPr>
        <w:tab/>
      </w:r>
    </w:p>
    <w:p w14:paraId="064D4793" w14:textId="5F69237F" w:rsidR="00290BCE" w:rsidRPr="005C3A62" w:rsidRDefault="00290BCE" w:rsidP="00290BCE">
      <w:pPr>
        <w:spacing w:after="120"/>
        <w:rPr>
          <w:rFonts w:ascii="Calibri" w:hAnsi="Calibri" w:cs="Calibri"/>
          <w:b/>
          <w:bCs/>
          <w:color w:val="000000"/>
          <w:sz w:val="22"/>
          <w:szCs w:val="22"/>
        </w:rPr>
      </w:pPr>
      <w:r w:rsidRPr="005C3A62">
        <w:rPr>
          <w:rFonts w:ascii="Calibri" w:hAnsi="Calibri" w:cs="Calibri"/>
          <w:b/>
          <w:bCs/>
          <w:color w:val="000000"/>
          <w:sz w:val="22"/>
          <w:szCs w:val="22"/>
        </w:rPr>
        <w:t>Introduction</w:t>
      </w:r>
    </w:p>
    <w:p w14:paraId="5DBF7B76" w14:textId="1C69ED56" w:rsidR="00290BCE" w:rsidRPr="00D22DFC" w:rsidRDefault="00290BCE" w:rsidP="00290BCE">
      <w:pPr>
        <w:rPr>
          <w:rFonts w:ascii="Calibri" w:hAnsi="Calibri" w:cs="Calibri"/>
          <w:bCs/>
          <w:color w:val="000000"/>
          <w:sz w:val="22"/>
          <w:szCs w:val="22"/>
        </w:rPr>
      </w:pPr>
      <w:r w:rsidRPr="00D22DFC">
        <w:rPr>
          <w:rFonts w:ascii="Calibri" w:hAnsi="Calibri" w:cs="Calibri"/>
          <w:bCs/>
          <w:color w:val="000000"/>
          <w:sz w:val="22"/>
          <w:szCs w:val="22"/>
        </w:rPr>
        <w:t>As a responsible public water system (PWS), our mission is to</w:t>
      </w:r>
      <w:r w:rsidR="00D22DFC" w:rsidRPr="00D22DFC">
        <w:rPr>
          <w:rFonts w:ascii="Calibri" w:hAnsi="Calibri" w:cs="Calibri"/>
          <w:bCs/>
          <w:color w:val="000000"/>
          <w:sz w:val="22"/>
          <w:szCs w:val="22"/>
        </w:rPr>
        <w:t xml:space="preserve"> </w:t>
      </w:r>
      <w:r w:rsidR="00D22DFC">
        <w:rPr>
          <w:rFonts w:ascii="Calibri" w:hAnsi="Calibri" w:cs="Calibri"/>
          <w:bCs/>
          <w:color w:val="000000"/>
          <w:sz w:val="22"/>
          <w:szCs w:val="22"/>
        </w:rPr>
        <w:t xml:space="preserve">deliver the best </w:t>
      </w:r>
      <w:r w:rsidR="00964FDD">
        <w:rPr>
          <w:rFonts w:ascii="Calibri" w:hAnsi="Calibri" w:cs="Calibri"/>
          <w:bCs/>
          <w:color w:val="000000"/>
          <w:sz w:val="22"/>
          <w:szCs w:val="22"/>
        </w:rPr>
        <w:t>quality and</w:t>
      </w:r>
      <w:r w:rsidR="00D22DFC">
        <w:rPr>
          <w:rFonts w:ascii="Calibri" w:hAnsi="Calibri" w:cs="Calibri"/>
          <w:bCs/>
          <w:color w:val="000000"/>
          <w:sz w:val="22"/>
          <w:szCs w:val="22"/>
        </w:rPr>
        <w:t xml:space="preserve"> reliable drinking water. </w:t>
      </w:r>
    </w:p>
    <w:p w14:paraId="15F04C64" w14:textId="5600D44A" w:rsidR="00290BCE" w:rsidRPr="00D22DFC" w:rsidRDefault="00290BCE" w:rsidP="00290BCE">
      <w:pPr>
        <w:rPr>
          <w:rFonts w:ascii="Calibri" w:hAnsi="Calibri" w:cs="Calibri"/>
          <w:bCs/>
          <w:color w:val="000000"/>
          <w:sz w:val="22"/>
          <w:szCs w:val="22"/>
        </w:rPr>
      </w:pPr>
      <w:r w:rsidRPr="00D22DFC">
        <w:rPr>
          <w:rFonts w:ascii="Calibri" w:hAnsi="Calibri" w:cs="Calibri"/>
          <w:bCs/>
          <w:color w:val="000000"/>
          <w:sz w:val="22"/>
          <w:szCs w:val="22"/>
        </w:rPr>
        <w:t xml:space="preserve">Aging infrastructure presents challenges for maintaining safe quality drinking water and continuous improvements are necessary. </w:t>
      </w:r>
    </w:p>
    <w:p w14:paraId="3EAF48BB" w14:textId="34A7952A" w:rsidR="00290BCE" w:rsidRPr="00D22DFC" w:rsidRDefault="00290BCE" w:rsidP="00290BCE">
      <w:pPr>
        <w:spacing w:after="240"/>
        <w:rPr>
          <w:rFonts w:ascii="Calibri" w:hAnsi="Calibri" w:cs="Calibri"/>
          <w:b/>
          <w:bCs/>
          <w:sz w:val="22"/>
          <w:szCs w:val="22"/>
        </w:rPr>
      </w:pPr>
      <w:r w:rsidRPr="00D22DFC">
        <w:rPr>
          <w:rFonts w:ascii="Calibri" w:hAnsi="Calibri" w:cs="Calibri"/>
          <w:bCs/>
          <w:color w:val="000000"/>
          <w:sz w:val="22"/>
          <w:szCs w:val="22"/>
        </w:rPr>
        <w:t xml:space="preserve">These investments along with on-going operation and maintenance costs are supported by </w:t>
      </w:r>
      <w:bookmarkStart w:id="0" w:name="Text6"/>
      <w:r w:rsidR="00964FDD">
        <w:rPr>
          <w:rFonts w:ascii="Calibri" w:hAnsi="Calibri" w:cs="Calibri"/>
          <w:bCs/>
          <w:color w:val="000000"/>
          <w:sz w:val="22"/>
          <w:szCs w:val="22"/>
        </w:rPr>
        <w:t>consumer water rates.</w:t>
      </w:r>
      <w:bookmarkEnd w:id="0"/>
      <w:r w:rsidRPr="00D22DFC">
        <w:rPr>
          <w:rFonts w:ascii="Calibri" w:hAnsi="Calibri" w:cs="Calibri"/>
          <w:bCs/>
          <w:color w:val="000000"/>
          <w:sz w:val="22"/>
          <w:szCs w:val="22"/>
        </w:rPr>
        <w:t xml:space="preserve"> When considering the high value placed on quality drinking water, it is truly a bargain to have water service that protects public health, fights fires, supports businesses and the economy, and ensures high-quality drinking water is always available at your tap. </w:t>
      </w:r>
    </w:p>
    <w:p w14:paraId="416BD431" w14:textId="468E7006" w:rsidR="00202696" w:rsidRPr="00D22DFC" w:rsidRDefault="00202696" w:rsidP="00202696">
      <w:pPr>
        <w:spacing w:after="120"/>
        <w:rPr>
          <w:rFonts w:ascii="Calibri" w:hAnsi="Calibri" w:cs="Calibri"/>
          <w:b/>
          <w:bCs/>
          <w:sz w:val="22"/>
          <w:szCs w:val="22"/>
        </w:rPr>
      </w:pPr>
      <w:r w:rsidRPr="00D22DFC">
        <w:rPr>
          <w:rFonts w:ascii="Calibri" w:hAnsi="Calibri" w:cs="Calibri"/>
          <w:b/>
          <w:bCs/>
          <w:sz w:val="22"/>
          <w:szCs w:val="22"/>
        </w:rPr>
        <w:t>What is a Consumer Confidence Report?</w:t>
      </w:r>
    </w:p>
    <w:p w14:paraId="0F37CB11" w14:textId="5430C65F" w:rsidR="00290BCE" w:rsidRPr="005C3A62" w:rsidRDefault="00202696" w:rsidP="00202696">
      <w:pPr>
        <w:rPr>
          <w:rFonts w:ascii="Calibri" w:hAnsi="Calibri" w:cs="Calibri"/>
          <w:bCs/>
          <w:sz w:val="22"/>
          <w:szCs w:val="22"/>
        </w:rPr>
      </w:pPr>
      <w:r w:rsidRPr="00D22DFC">
        <w:rPr>
          <w:rFonts w:ascii="Calibri" w:hAnsi="Calibri" w:cs="Calibri"/>
          <w:bCs/>
          <w:sz w:val="22"/>
          <w:szCs w:val="22"/>
        </w:rPr>
        <w:t>The Consumer Confidence Report (</w:t>
      </w:r>
      <w:smartTag w:uri="urn:schemas-microsoft-com:office:smarttags" w:element="stockticker">
        <w:r w:rsidRPr="00D22DFC">
          <w:rPr>
            <w:rFonts w:ascii="Calibri" w:hAnsi="Calibri" w:cs="Calibri"/>
            <w:bCs/>
            <w:sz w:val="22"/>
            <w:szCs w:val="22"/>
          </w:rPr>
          <w:t>CCR</w:t>
        </w:r>
      </w:smartTag>
      <w:r w:rsidRPr="00D22DFC">
        <w:rPr>
          <w:rFonts w:ascii="Calibri" w:hAnsi="Calibri" w:cs="Calibri"/>
          <w:bCs/>
          <w:sz w:val="22"/>
          <w:szCs w:val="22"/>
        </w:rPr>
        <w:t>) details the quality of your drinking water, where it comes from, and how to get more information. This annual report documents all detected primary and secondary drinking water contaminants and their respective standards known as Maximum Contaminant Levels (MCLs).</w:t>
      </w:r>
    </w:p>
    <w:p w14:paraId="53A36611" w14:textId="4CAB3DE4" w:rsidR="00202696" w:rsidRPr="00964FDD" w:rsidRDefault="00202696" w:rsidP="007420BF">
      <w:pPr>
        <w:spacing w:before="240" w:after="120"/>
        <w:rPr>
          <w:rFonts w:ascii="Calibri" w:hAnsi="Calibri" w:cs="Calibri"/>
          <w:color w:val="000000" w:themeColor="text1"/>
          <w:sz w:val="22"/>
          <w:szCs w:val="22"/>
        </w:rPr>
      </w:pPr>
      <w:r w:rsidRPr="00964FDD">
        <w:rPr>
          <w:rFonts w:ascii="Calibri" w:hAnsi="Calibri" w:cs="Calibri"/>
          <w:b/>
          <w:color w:val="000000" w:themeColor="text1"/>
          <w:sz w:val="22"/>
          <w:szCs w:val="22"/>
        </w:rPr>
        <w:t>The sources of drinking water</w:t>
      </w:r>
      <w:r w:rsidR="0084308A" w:rsidRPr="00964FDD">
        <w:rPr>
          <w:rFonts w:ascii="Calibri" w:hAnsi="Calibri" w:cs="Calibri"/>
          <w:b/>
          <w:color w:val="000000" w:themeColor="text1"/>
          <w:sz w:val="22"/>
          <w:szCs w:val="22"/>
        </w:rPr>
        <w:t xml:space="preserve"> -</w:t>
      </w:r>
      <w:r w:rsidRPr="00964FDD">
        <w:rPr>
          <w:rFonts w:ascii="Calibri" w:hAnsi="Calibri" w:cs="Calibri"/>
          <w:color w:val="000000" w:themeColor="text1"/>
          <w:sz w:val="22"/>
          <w:szCs w:val="22"/>
        </w:rPr>
        <w:t xml:space="preserve"> </w:t>
      </w:r>
      <w:r w:rsidR="0084308A" w:rsidRPr="00964FDD">
        <w:rPr>
          <w:rFonts w:ascii="Calibri" w:hAnsi="Calibri" w:cs="Calibri"/>
          <w:color w:val="000000" w:themeColor="text1"/>
          <w:sz w:val="22"/>
          <w:szCs w:val="22"/>
        </w:rPr>
        <w:t>B</w:t>
      </w:r>
      <w:r w:rsidRPr="00964FDD">
        <w:rPr>
          <w:rFonts w:ascii="Calibri" w:hAnsi="Calibri" w:cs="Calibri"/>
          <w:color w:val="000000" w:themeColor="text1"/>
          <w:sz w:val="22"/>
          <w:szCs w:val="22"/>
        </w:rPr>
        <w:t xml:space="preserve">oth tap water and bottled water </w:t>
      </w:r>
      <w:r w:rsidR="0084308A" w:rsidRPr="00964FDD">
        <w:rPr>
          <w:rFonts w:ascii="Calibri" w:hAnsi="Calibri" w:cs="Calibri"/>
          <w:color w:val="000000" w:themeColor="text1"/>
          <w:sz w:val="22"/>
          <w:szCs w:val="22"/>
        </w:rPr>
        <w:t>come from</w:t>
      </w:r>
      <w:r w:rsidRPr="00964FDD">
        <w:rPr>
          <w:rFonts w:ascii="Calibri" w:hAnsi="Calibri" w:cs="Calibri"/>
          <w:color w:val="000000" w:themeColor="text1"/>
          <w:sz w:val="22"/>
          <w:szCs w:val="22"/>
        </w:rPr>
        <w:t xml:space="preserve"> rivers, lakes, streams, ponds, reservoirs, springs, and wells. As water travels over the surface of the land or through the ground, it dissolves naturally occurring minerals and, in some cases, radioactive material</w:t>
      </w:r>
      <w:r w:rsidR="0084308A" w:rsidRPr="00964FDD">
        <w:rPr>
          <w:rFonts w:ascii="Calibri" w:hAnsi="Calibri" w:cs="Calibri"/>
          <w:color w:val="000000" w:themeColor="text1"/>
          <w:sz w:val="22"/>
          <w:szCs w:val="22"/>
        </w:rPr>
        <w:t>. The water can also</w:t>
      </w:r>
      <w:r w:rsidRPr="00964FDD">
        <w:rPr>
          <w:rFonts w:ascii="Calibri" w:hAnsi="Calibri" w:cs="Calibri"/>
          <w:color w:val="000000" w:themeColor="text1"/>
          <w:sz w:val="22"/>
          <w:szCs w:val="22"/>
        </w:rPr>
        <w:t xml:space="preserve"> pick up</w:t>
      </w:r>
      <w:r w:rsidR="0084308A" w:rsidRPr="00964FDD">
        <w:rPr>
          <w:rFonts w:ascii="Calibri" w:hAnsi="Calibri" w:cs="Calibri"/>
          <w:color w:val="000000" w:themeColor="text1"/>
          <w:sz w:val="22"/>
          <w:szCs w:val="22"/>
        </w:rPr>
        <w:t xml:space="preserve"> and transport</w:t>
      </w:r>
      <w:r w:rsidRPr="00964FDD">
        <w:rPr>
          <w:rFonts w:ascii="Calibri" w:hAnsi="Calibri" w:cs="Calibri"/>
          <w:color w:val="000000" w:themeColor="text1"/>
          <w:sz w:val="22"/>
          <w:szCs w:val="22"/>
        </w:rPr>
        <w:t xml:space="preserve"> substances resulting from the presence of animals or from human activity. </w:t>
      </w:r>
    </w:p>
    <w:p w14:paraId="3E8F87B9" w14:textId="77777777" w:rsidR="00202696" w:rsidRPr="00964FDD" w:rsidRDefault="00202696" w:rsidP="00202696">
      <w:pPr>
        <w:spacing w:after="120"/>
        <w:rPr>
          <w:rFonts w:ascii="Calibri" w:hAnsi="Calibri" w:cs="Calibri"/>
          <w:color w:val="000000" w:themeColor="text1"/>
          <w:sz w:val="22"/>
          <w:szCs w:val="22"/>
        </w:rPr>
      </w:pPr>
      <w:r w:rsidRPr="00964FDD">
        <w:rPr>
          <w:rFonts w:ascii="Calibri" w:hAnsi="Calibri" w:cs="Calibri"/>
          <w:b/>
          <w:color w:val="000000" w:themeColor="text1"/>
          <w:sz w:val="22"/>
          <w:szCs w:val="22"/>
        </w:rPr>
        <w:t>Contaminants that may be present</w:t>
      </w:r>
      <w:r w:rsidRPr="00964FDD">
        <w:rPr>
          <w:rFonts w:ascii="Calibri" w:hAnsi="Calibri" w:cs="Calibri"/>
          <w:color w:val="000000" w:themeColor="text1"/>
          <w:sz w:val="22"/>
          <w:szCs w:val="22"/>
        </w:rPr>
        <w:t xml:space="preserve"> in source water include:</w:t>
      </w:r>
    </w:p>
    <w:p w14:paraId="7655B553" w14:textId="693EEF40" w:rsidR="00D163D8" w:rsidRPr="00964FDD" w:rsidRDefault="00D163D8" w:rsidP="00D163D8">
      <w:pPr>
        <w:pStyle w:val="ListParagraph"/>
        <w:numPr>
          <w:ilvl w:val="0"/>
          <w:numId w:val="1"/>
        </w:numPr>
        <w:spacing w:after="80"/>
        <w:ind w:left="360"/>
        <w:rPr>
          <w:rFonts w:ascii="Calibri" w:hAnsi="Calibri" w:cs="Calibri"/>
          <w:color w:val="000000" w:themeColor="text1"/>
          <w:sz w:val="22"/>
          <w:szCs w:val="22"/>
        </w:rPr>
      </w:pPr>
      <w:r w:rsidRPr="00964FDD">
        <w:rPr>
          <w:rFonts w:ascii="Calibri" w:hAnsi="Calibri" w:cs="Calibri"/>
          <w:b/>
          <w:color w:val="000000" w:themeColor="text1"/>
          <w:sz w:val="22"/>
          <w:szCs w:val="22"/>
        </w:rPr>
        <w:t>Contaminant</w:t>
      </w:r>
      <w:r w:rsidRPr="00964FDD">
        <w:rPr>
          <w:rFonts w:ascii="Calibri" w:hAnsi="Calibri" w:cs="Calibri"/>
          <w:color w:val="000000" w:themeColor="text1"/>
          <w:sz w:val="22"/>
          <w:szCs w:val="22"/>
        </w:rPr>
        <w:t>, any physical, chemical, biological, or radiological substance or matter in water.</w:t>
      </w:r>
    </w:p>
    <w:p w14:paraId="23568D1D" w14:textId="77777777" w:rsidR="00202696" w:rsidRPr="00964FDD" w:rsidRDefault="00202696" w:rsidP="00202696">
      <w:pPr>
        <w:numPr>
          <w:ilvl w:val="0"/>
          <w:numId w:val="1"/>
        </w:numPr>
        <w:spacing w:after="120"/>
        <w:ind w:left="360"/>
        <w:rPr>
          <w:rFonts w:ascii="Calibri" w:hAnsi="Calibri" w:cs="Calibri"/>
          <w:color w:val="000000" w:themeColor="text1"/>
          <w:sz w:val="22"/>
          <w:szCs w:val="22"/>
        </w:rPr>
      </w:pPr>
      <w:r w:rsidRPr="00964FDD">
        <w:rPr>
          <w:rFonts w:ascii="Calibri" w:hAnsi="Calibri" w:cs="Calibri"/>
          <w:b/>
          <w:color w:val="000000" w:themeColor="text1"/>
          <w:sz w:val="22"/>
          <w:szCs w:val="22"/>
        </w:rPr>
        <w:t>Microbial contaminants</w:t>
      </w:r>
      <w:r w:rsidRPr="00964FDD">
        <w:rPr>
          <w:rFonts w:ascii="Calibri" w:hAnsi="Calibri" w:cs="Calibri"/>
          <w:color w:val="000000" w:themeColor="text1"/>
          <w:sz w:val="22"/>
          <w:szCs w:val="22"/>
        </w:rPr>
        <w:t>, such as viruses and bacteria, which may come from sewage treatment plants, septic systems, agricultural livestock operations, and wildlife.</w:t>
      </w:r>
    </w:p>
    <w:p w14:paraId="4A706142" w14:textId="55FAAB1D" w:rsidR="00202696" w:rsidRPr="00964FDD" w:rsidRDefault="00202696" w:rsidP="00202696">
      <w:pPr>
        <w:numPr>
          <w:ilvl w:val="0"/>
          <w:numId w:val="1"/>
        </w:numPr>
        <w:spacing w:after="120"/>
        <w:ind w:left="360"/>
        <w:rPr>
          <w:rFonts w:ascii="Calibri" w:hAnsi="Calibri" w:cs="Calibri"/>
          <w:color w:val="000000" w:themeColor="text1"/>
          <w:sz w:val="22"/>
          <w:szCs w:val="22"/>
        </w:rPr>
      </w:pPr>
      <w:r w:rsidRPr="00964FDD">
        <w:rPr>
          <w:rFonts w:ascii="Calibri" w:hAnsi="Calibri" w:cs="Calibri"/>
          <w:b/>
          <w:color w:val="000000" w:themeColor="text1"/>
          <w:sz w:val="22"/>
          <w:szCs w:val="22"/>
        </w:rPr>
        <w:t>Inorganic contaminants</w:t>
      </w:r>
      <w:r w:rsidRPr="00964FDD">
        <w:rPr>
          <w:rFonts w:ascii="Calibri" w:hAnsi="Calibri" w:cs="Calibri"/>
          <w:color w:val="000000" w:themeColor="text1"/>
          <w:sz w:val="22"/>
          <w:szCs w:val="22"/>
        </w:rPr>
        <w:t>, such as salts and metals, which can</w:t>
      </w:r>
      <w:r w:rsidR="0084308A" w:rsidRPr="00964FDD">
        <w:rPr>
          <w:rFonts w:ascii="Calibri" w:hAnsi="Calibri" w:cs="Calibri"/>
          <w:color w:val="000000" w:themeColor="text1"/>
          <w:sz w:val="22"/>
          <w:szCs w:val="22"/>
        </w:rPr>
        <w:t xml:space="preserve"> occur </w:t>
      </w:r>
      <w:r w:rsidRPr="00964FDD">
        <w:rPr>
          <w:rFonts w:ascii="Calibri" w:hAnsi="Calibri" w:cs="Calibri"/>
          <w:color w:val="000000" w:themeColor="text1"/>
          <w:sz w:val="22"/>
          <w:szCs w:val="22"/>
        </w:rPr>
        <w:t xml:space="preserve">naturally </w:t>
      </w:r>
      <w:r w:rsidR="0084308A" w:rsidRPr="00964FDD">
        <w:rPr>
          <w:rFonts w:ascii="Calibri" w:hAnsi="Calibri" w:cs="Calibri"/>
          <w:color w:val="000000" w:themeColor="text1"/>
          <w:sz w:val="22"/>
          <w:szCs w:val="22"/>
        </w:rPr>
        <w:t>in the soil or groundwater</w:t>
      </w:r>
      <w:r w:rsidRPr="00964FDD">
        <w:rPr>
          <w:rFonts w:ascii="Calibri" w:hAnsi="Calibri" w:cs="Calibri"/>
          <w:color w:val="000000" w:themeColor="text1"/>
          <w:sz w:val="22"/>
          <w:szCs w:val="22"/>
        </w:rPr>
        <w:t xml:space="preserve"> or </w:t>
      </w:r>
      <w:r w:rsidR="0084308A" w:rsidRPr="00964FDD">
        <w:rPr>
          <w:rFonts w:ascii="Calibri" w:hAnsi="Calibri" w:cs="Calibri"/>
          <w:color w:val="000000" w:themeColor="text1"/>
          <w:sz w:val="22"/>
          <w:szCs w:val="22"/>
        </w:rPr>
        <w:t xml:space="preserve">may </w:t>
      </w:r>
      <w:r w:rsidRPr="00964FDD">
        <w:rPr>
          <w:rFonts w:ascii="Calibri" w:hAnsi="Calibri" w:cs="Calibri"/>
          <w:color w:val="000000" w:themeColor="text1"/>
          <w:sz w:val="22"/>
          <w:szCs w:val="22"/>
        </w:rPr>
        <w:t>result from urban storm water runoff, industrial or domestic wastewater discharges, oil and gas production, mining or farming.</w:t>
      </w:r>
    </w:p>
    <w:p w14:paraId="36D4C4E4" w14:textId="3534B2A7" w:rsidR="00D163D8" w:rsidRPr="00964FDD" w:rsidRDefault="00D163D8" w:rsidP="00D163D8">
      <w:pPr>
        <w:numPr>
          <w:ilvl w:val="0"/>
          <w:numId w:val="1"/>
        </w:numPr>
        <w:spacing w:after="80"/>
        <w:ind w:left="360"/>
        <w:rPr>
          <w:rFonts w:ascii="Calibri" w:hAnsi="Calibri" w:cs="Calibri"/>
          <w:color w:val="000000" w:themeColor="text1"/>
          <w:sz w:val="22"/>
          <w:szCs w:val="22"/>
        </w:rPr>
      </w:pPr>
      <w:r w:rsidRPr="00964FDD">
        <w:rPr>
          <w:rFonts w:ascii="Calibri" w:hAnsi="Calibri" w:cs="Calibri"/>
          <w:b/>
          <w:color w:val="000000" w:themeColor="text1"/>
          <w:sz w:val="22"/>
          <w:szCs w:val="22"/>
        </w:rPr>
        <w:t>Pesticides</w:t>
      </w:r>
      <w:r w:rsidRPr="00964FDD">
        <w:rPr>
          <w:rFonts w:ascii="Calibri" w:hAnsi="Calibri" w:cs="Calibri"/>
          <w:bCs/>
          <w:color w:val="000000" w:themeColor="text1"/>
          <w:sz w:val="22"/>
          <w:szCs w:val="22"/>
        </w:rPr>
        <w:t>, generally, any substance or mixture of substances intended for preventing, destroying, repelling, or mitigating any pest.</w:t>
      </w:r>
      <w:r w:rsidRPr="00964FDD">
        <w:rPr>
          <w:rFonts w:ascii="Calibri" w:hAnsi="Calibri" w:cs="Calibri"/>
          <w:b/>
          <w:color w:val="000000" w:themeColor="text1"/>
          <w:sz w:val="22"/>
          <w:szCs w:val="22"/>
        </w:rPr>
        <w:t xml:space="preserve"> </w:t>
      </w:r>
    </w:p>
    <w:p w14:paraId="31163875" w14:textId="541576EC" w:rsidR="00D163D8" w:rsidRPr="00964FDD" w:rsidRDefault="00D163D8" w:rsidP="00D163D8">
      <w:pPr>
        <w:numPr>
          <w:ilvl w:val="0"/>
          <w:numId w:val="1"/>
        </w:numPr>
        <w:spacing w:after="80"/>
        <w:ind w:left="360"/>
        <w:rPr>
          <w:rFonts w:ascii="Calibri" w:hAnsi="Calibri" w:cs="Calibri"/>
          <w:color w:val="000000" w:themeColor="text1"/>
          <w:sz w:val="22"/>
          <w:szCs w:val="22"/>
        </w:rPr>
      </w:pPr>
      <w:r w:rsidRPr="00964FDD">
        <w:rPr>
          <w:rFonts w:ascii="Calibri" w:hAnsi="Calibri" w:cs="Calibri"/>
          <w:b/>
          <w:color w:val="000000" w:themeColor="text1"/>
          <w:sz w:val="22"/>
          <w:szCs w:val="22"/>
        </w:rPr>
        <w:t>Herbicides</w:t>
      </w:r>
      <w:r w:rsidRPr="00964FDD">
        <w:rPr>
          <w:rFonts w:ascii="Calibri" w:hAnsi="Calibri" w:cs="Calibri"/>
          <w:color w:val="000000" w:themeColor="text1"/>
          <w:sz w:val="22"/>
          <w:szCs w:val="22"/>
        </w:rPr>
        <w:t>, any chemical(s) used to control undesirable vegetation.</w:t>
      </w:r>
    </w:p>
    <w:p w14:paraId="1CDCE403" w14:textId="77777777" w:rsidR="00202696" w:rsidRPr="00964FDD" w:rsidRDefault="00202696" w:rsidP="00202696">
      <w:pPr>
        <w:numPr>
          <w:ilvl w:val="0"/>
          <w:numId w:val="1"/>
        </w:numPr>
        <w:spacing w:after="120"/>
        <w:ind w:left="360"/>
        <w:rPr>
          <w:rFonts w:ascii="Calibri" w:hAnsi="Calibri" w:cs="Calibri"/>
          <w:color w:val="000000" w:themeColor="text1"/>
          <w:sz w:val="22"/>
          <w:szCs w:val="22"/>
        </w:rPr>
      </w:pPr>
      <w:r w:rsidRPr="00964FDD">
        <w:rPr>
          <w:rFonts w:ascii="Calibri" w:hAnsi="Calibri" w:cs="Calibri"/>
          <w:b/>
          <w:color w:val="000000" w:themeColor="text1"/>
          <w:sz w:val="22"/>
          <w:szCs w:val="22"/>
        </w:rPr>
        <w:t>Organic chemical contaminants</w:t>
      </w:r>
      <w:r w:rsidRPr="00964FDD">
        <w:rPr>
          <w:rFonts w:ascii="Calibri" w:hAnsi="Calibri" w:cs="Calibri"/>
          <w:color w:val="000000" w:themeColor="text1"/>
          <w:sz w:val="22"/>
          <w:szCs w:val="22"/>
        </w:rPr>
        <w:t>, including per- and polyfluoroalkyl substances, synthetic and volatile organic chemicals, which are by-products of industrial processes and petroleum production, and can also come from gas stations, urban storm water runoff, and septic systems.</w:t>
      </w:r>
    </w:p>
    <w:p w14:paraId="6124091A" w14:textId="77777777" w:rsidR="00202696" w:rsidRPr="00964FDD" w:rsidRDefault="00202696" w:rsidP="00202696">
      <w:pPr>
        <w:numPr>
          <w:ilvl w:val="0"/>
          <w:numId w:val="1"/>
        </w:numPr>
        <w:spacing w:after="120"/>
        <w:ind w:left="360"/>
        <w:rPr>
          <w:rFonts w:ascii="Calibri" w:hAnsi="Calibri" w:cs="Calibri"/>
          <w:color w:val="000000" w:themeColor="text1"/>
          <w:sz w:val="22"/>
          <w:szCs w:val="22"/>
        </w:rPr>
      </w:pPr>
      <w:r w:rsidRPr="00964FDD">
        <w:rPr>
          <w:rFonts w:ascii="Calibri" w:hAnsi="Calibri" w:cs="Calibri"/>
          <w:b/>
          <w:color w:val="000000" w:themeColor="text1"/>
          <w:sz w:val="22"/>
          <w:szCs w:val="22"/>
        </w:rPr>
        <w:t>Radioactive contaminants</w:t>
      </w:r>
      <w:r w:rsidRPr="00964FDD">
        <w:rPr>
          <w:rFonts w:ascii="Calibri" w:hAnsi="Calibri" w:cs="Calibri"/>
          <w:color w:val="000000" w:themeColor="text1"/>
          <w:sz w:val="22"/>
          <w:szCs w:val="22"/>
        </w:rPr>
        <w:t>, which can be naturally occurring or be the result of oil and gas production and mining activities.</w:t>
      </w:r>
    </w:p>
    <w:p w14:paraId="450E60C6" w14:textId="773A4CD7" w:rsidR="00202696" w:rsidRPr="00964FDD" w:rsidRDefault="0084308A" w:rsidP="00CE6E89">
      <w:pPr>
        <w:spacing w:after="120"/>
        <w:rPr>
          <w:rFonts w:ascii="Calibri" w:hAnsi="Calibri" w:cs="Calibri"/>
          <w:color w:val="000000" w:themeColor="text1"/>
          <w:sz w:val="22"/>
          <w:szCs w:val="22"/>
        </w:rPr>
      </w:pPr>
      <w:r w:rsidRPr="00964FDD">
        <w:rPr>
          <w:rFonts w:ascii="Calibri" w:hAnsi="Calibri" w:cs="Calibri"/>
          <w:b/>
          <w:color w:val="000000" w:themeColor="text1"/>
          <w:sz w:val="22"/>
          <w:szCs w:val="22"/>
        </w:rPr>
        <w:t>To protect public health,</w:t>
      </w:r>
      <w:r w:rsidR="00202696" w:rsidRPr="00964FDD">
        <w:rPr>
          <w:rFonts w:ascii="Calibri" w:hAnsi="Calibri" w:cs="Calibri"/>
          <w:color w:val="000000" w:themeColor="text1"/>
          <w:sz w:val="22"/>
          <w:szCs w:val="22"/>
        </w:rPr>
        <w:t xml:space="preserve"> EPA </w:t>
      </w:r>
      <w:r w:rsidRPr="00964FDD">
        <w:rPr>
          <w:rFonts w:ascii="Calibri" w:hAnsi="Calibri" w:cs="Calibri"/>
          <w:color w:val="000000" w:themeColor="text1"/>
          <w:sz w:val="22"/>
          <w:szCs w:val="22"/>
        </w:rPr>
        <w:t xml:space="preserve">and the State of New Hampshire </w:t>
      </w:r>
      <w:r w:rsidR="00202696" w:rsidRPr="00964FDD">
        <w:rPr>
          <w:rFonts w:ascii="Calibri" w:hAnsi="Calibri" w:cs="Calibri"/>
          <w:color w:val="000000" w:themeColor="text1"/>
          <w:sz w:val="22"/>
          <w:szCs w:val="22"/>
        </w:rPr>
        <w:t xml:space="preserve">prescribe regulations which limit the amount of certain contaminants in </w:t>
      </w:r>
      <w:r w:rsidRPr="00964FDD">
        <w:rPr>
          <w:rFonts w:ascii="Calibri" w:hAnsi="Calibri" w:cs="Calibri"/>
          <w:color w:val="000000" w:themeColor="text1"/>
          <w:sz w:val="22"/>
          <w:szCs w:val="22"/>
        </w:rPr>
        <w:t xml:space="preserve">tap </w:t>
      </w:r>
      <w:r w:rsidR="00202696" w:rsidRPr="00964FDD">
        <w:rPr>
          <w:rFonts w:ascii="Calibri" w:hAnsi="Calibri" w:cs="Calibri"/>
          <w:color w:val="000000" w:themeColor="text1"/>
          <w:sz w:val="22"/>
          <w:szCs w:val="22"/>
        </w:rPr>
        <w:t xml:space="preserve">water provided by public water systems. The US Food and Drug Administration </w:t>
      </w:r>
      <w:r w:rsidR="00202696" w:rsidRPr="00964FDD">
        <w:rPr>
          <w:rFonts w:ascii="Calibri" w:hAnsi="Calibri" w:cs="Calibri"/>
          <w:color w:val="000000" w:themeColor="text1"/>
          <w:sz w:val="22"/>
          <w:szCs w:val="22"/>
        </w:rPr>
        <w:lastRenderedPageBreak/>
        <w:t>(FDA) regulations establish limits for contaminants in bottled water, which must provide the same protection for public health.</w:t>
      </w:r>
    </w:p>
    <w:p w14:paraId="2DA9D8F8" w14:textId="77777777" w:rsidR="00202696" w:rsidRDefault="00202696" w:rsidP="00202696">
      <w:pPr>
        <w:spacing w:after="120"/>
        <w:rPr>
          <w:rFonts w:ascii="Calibri" w:hAnsi="Calibri" w:cs="Calibri"/>
          <w:b/>
          <w:color w:val="000000" w:themeColor="text1"/>
          <w:sz w:val="22"/>
          <w:szCs w:val="22"/>
        </w:rPr>
      </w:pPr>
      <w:r w:rsidRPr="00964FDD">
        <w:rPr>
          <w:rFonts w:ascii="Calibri" w:hAnsi="Calibri" w:cs="Calibri"/>
          <w:b/>
          <w:color w:val="000000" w:themeColor="text1"/>
          <w:sz w:val="22"/>
          <w:szCs w:val="22"/>
        </w:rPr>
        <w:t>What is the source of my drinking water?</w:t>
      </w:r>
    </w:p>
    <w:p w14:paraId="4D149D77" w14:textId="73CF6A21" w:rsidR="00964FDD" w:rsidRPr="00964FDD" w:rsidRDefault="00964FDD" w:rsidP="00202696">
      <w:pPr>
        <w:spacing w:after="120"/>
        <w:rPr>
          <w:rFonts w:ascii="Calibri" w:hAnsi="Calibri" w:cs="Calibri"/>
          <w:bCs/>
          <w:color w:val="000000" w:themeColor="text1"/>
          <w:sz w:val="22"/>
          <w:szCs w:val="22"/>
        </w:rPr>
      </w:pPr>
      <w:r w:rsidRPr="00964FDD">
        <w:rPr>
          <w:rFonts w:ascii="Calibri" w:hAnsi="Calibri" w:cs="Calibri"/>
          <w:bCs/>
          <w:color w:val="000000" w:themeColor="text1"/>
          <w:sz w:val="22"/>
          <w:szCs w:val="22"/>
        </w:rPr>
        <w:t>Manchester Water Works provides the high-quality water we provide for your homes.  The water comes from a treatment plant located alongside Lake Mass</w:t>
      </w:r>
      <w:r>
        <w:rPr>
          <w:rFonts w:ascii="Calibri" w:hAnsi="Calibri" w:cs="Calibri"/>
          <w:bCs/>
          <w:color w:val="000000" w:themeColor="text1"/>
          <w:sz w:val="22"/>
          <w:szCs w:val="22"/>
        </w:rPr>
        <w:t>abesic</w:t>
      </w:r>
      <w:r w:rsidRPr="00964FDD">
        <w:rPr>
          <w:rFonts w:ascii="Calibri" w:hAnsi="Calibri" w:cs="Calibri"/>
          <w:bCs/>
          <w:color w:val="000000" w:themeColor="text1"/>
          <w:sz w:val="22"/>
          <w:szCs w:val="22"/>
        </w:rPr>
        <w:t xml:space="preserve"> in Auburn</w:t>
      </w:r>
      <w:r>
        <w:rPr>
          <w:rFonts w:ascii="Calibri" w:hAnsi="Calibri" w:cs="Calibri"/>
          <w:bCs/>
          <w:color w:val="000000" w:themeColor="text1"/>
          <w:sz w:val="22"/>
          <w:szCs w:val="22"/>
        </w:rPr>
        <w:t>.  The Grasmere Village Precinct is a distributor for this portion of Goffstown.</w:t>
      </w:r>
      <w:r w:rsidRPr="00964FDD">
        <w:rPr>
          <w:rFonts w:ascii="Calibri" w:hAnsi="Calibri" w:cs="Calibri"/>
          <w:bCs/>
          <w:color w:val="000000" w:themeColor="text1"/>
          <w:sz w:val="22"/>
          <w:szCs w:val="22"/>
        </w:rPr>
        <w:t xml:space="preserve"> </w:t>
      </w:r>
    </w:p>
    <w:p w14:paraId="02F57B96" w14:textId="77777777" w:rsidR="00202696" w:rsidRPr="00964FDD" w:rsidRDefault="00202696" w:rsidP="00202696">
      <w:pPr>
        <w:spacing w:after="120"/>
        <w:rPr>
          <w:rFonts w:ascii="Calibri" w:hAnsi="Calibri" w:cs="Calibri"/>
          <w:b/>
          <w:color w:val="000000" w:themeColor="text1"/>
          <w:sz w:val="22"/>
          <w:szCs w:val="22"/>
        </w:rPr>
      </w:pPr>
      <w:r w:rsidRPr="00964FDD">
        <w:rPr>
          <w:rFonts w:ascii="Calibri" w:hAnsi="Calibri" w:cs="Calibri"/>
          <w:b/>
          <w:color w:val="000000" w:themeColor="text1"/>
          <w:sz w:val="22"/>
          <w:szCs w:val="22"/>
        </w:rPr>
        <w:t>Why are contaminants in my water?</w:t>
      </w:r>
    </w:p>
    <w:p w14:paraId="1E92DBFF" w14:textId="5FC90696" w:rsidR="00202696" w:rsidRPr="00964FDD" w:rsidRDefault="00202696" w:rsidP="00202696">
      <w:pPr>
        <w:spacing w:after="120"/>
        <w:rPr>
          <w:rFonts w:ascii="Calibri" w:hAnsi="Calibri" w:cs="Calibri"/>
          <w:i/>
          <w:iCs/>
          <w:color w:val="000000" w:themeColor="text1"/>
          <w:sz w:val="22"/>
          <w:szCs w:val="22"/>
        </w:rPr>
      </w:pPr>
      <w:r w:rsidRPr="00964FDD">
        <w:rPr>
          <w:rFonts w:ascii="Calibri" w:hAnsi="Calibri" w:cs="Calibri"/>
          <w:color w:val="000000" w:themeColor="text1"/>
          <w:sz w:val="22"/>
          <w:szCs w:val="22"/>
        </w:rPr>
        <w:t>Drinking water, including bottled water, may reasonably be expected to contain at least small amounts of some contaminants. The presence of contaminants does not necessarily mean that water poses a health risk. More information about contaminants and potential health effects can be obtained by contacting the Environmental Protection Agency by calling the Safe Drinking Water Hotline (</w:t>
      </w:r>
      <w:hyperlink r:id="rId8" w:history="1">
        <w:r w:rsidRPr="00964FDD">
          <w:rPr>
            <w:rStyle w:val="Hyperlink"/>
            <w:rFonts w:ascii="Calibri" w:eastAsiaTheme="majorEastAsia" w:hAnsi="Calibri" w:cs="Calibri"/>
            <w:color w:val="000000" w:themeColor="text1"/>
            <w:sz w:val="22"/>
            <w:szCs w:val="22"/>
          </w:rPr>
          <w:t>800-426-4791</w:t>
        </w:r>
      </w:hyperlink>
      <w:r w:rsidRPr="00964FDD">
        <w:rPr>
          <w:rFonts w:ascii="Calibri" w:hAnsi="Calibri" w:cs="Calibri"/>
          <w:color w:val="000000" w:themeColor="text1"/>
          <w:sz w:val="22"/>
          <w:szCs w:val="22"/>
        </w:rPr>
        <w:t xml:space="preserve">) or visiting the </w:t>
      </w:r>
      <w:bookmarkStart w:id="1" w:name="_Hlk218717648"/>
      <w:r w:rsidRPr="00964FDD">
        <w:rPr>
          <w:rFonts w:ascii="Calibri" w:hAnsi="Calibri" w:cs="Calibri"/>
          <w:color w:val="000000" w:themeColor="text1"/>
          <w:sz w:val="22"/>
          <w:szCs w:val="22"/>
        </w:rPr>
        <w:t xml:space="preserve">website </w:t>
      </w:r>
      <w:r w:rsidRPr="00964FDD">
        <w:rPr>
          <w:rFonts w:ascii="Calibri" w:hAnsi="Calibri" w:cs="Calibri"/>
          <w:i/>
          <w:iCs/>
          <w:color w:val="000000" w:themeColor="text1"/>
          <w:sz w:val="22"/>
          <w:szCs w:val="22"/>
        </w:rPr>
        <w:t>epa.gov/safewater</w:t>
      </w:r>
      <w:r w:rsidR="00D163D8" w:rsidRPr="00964FDD">
        <w:rPr>
          <w:rFonts w:ascii="Calibri" w:hAnsi="Calibri" w:cs="Calibri"/>
          <w:i/>
          <w:iCs/>
          <w:color w:val="000000" w:themeColor="text1"/>
          <w:sz w:val="22"/>
          <w:szCs w:val="22"/>
        </w:rPr>
        <w:t>.</w:t>
      </w:r>
      <w:bookmarkEnd w:id="1"/>
    </w:p>
    <w:p w14:paraId="439E5CB2" w14:textId="77777777" w:rsidR="00202696" w:rsidRPr="00964FDD" w:rsidRDefault="00202696" w:rsidP="00202696">
      <w:pPr>
        <w:spacing w:after="120"/>
        <w:rPr>
          <w:rFonts w:ascii="Calibri" w:hAnsi="Calibri" w:cs="Calibri"/>
          <w:b/>
          <w:color w:val="000000" w:themeColor="text1"/>
          <w:sz w:val="22"/>
          <w:szCs w:val="22"/>
        </w:rPr>
      </w:pPr>
      <w:r w:rsidRPr="00964FDD">
        <w:rPr>
          <w:rFonts w:ascii="Calibri" w:hAnsi="Calibri" w:cs="Calibri"/>
          <w:b/>
          <w:color w:val="000000" w:themeColor="text1"/>
          <w:sz w:val="22"/>
          <w:szCs w:val="22"/>
        </w:rPr>
        <w:t xml:space="preserve">Do I need to take special precautions? </w:t>
      </w:r>
    </w:p>
    <w:p w14:paraId="120160D7" w14:textId="3EE79487" w:rsidR="008450BC" w:rsidRPr="00964FDD" w:rsidRDefault="008450BC" w:rsidP="008450BC">
      <w:pPr>
        <w:spacing w:before="80" w:after="80"/>
        <w:rPr>
          <w:rFonts w:ascii="Calibri" w:hAnsi="Calibri" w:cs="Calibri"/>
          <w:color w:val="000000" w:themeColor="text1"/>
          <w:sz w:val="22"/>
          <w:szCs w:val="22"/>
        </w:rPr>
      </w:pPr>
      <w:r w:rsidRPr="00964FDD">
        <w:rPr>
          <w:rFonts w:ascii="Calibri" w:hAnsi="Calibri" w:cs="Calibri"/>
          <w:color w:val="000000" w:themeColor="text1"/>
          <w:sz w:val="22"/>
          <w:szCs w:val="22"/>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EPA/CDC guidelines on appropriate means to lessen the risk of infection by </w:t>
      </w:r>
      <w:r w:rsidRPr="00964FDD">
        <w:rPr>
          <w:rFonts w:ascii="Calibri" w:hAnsi="Calibri" w:cs="Calibri"/>
          <w:i/>
          <w:color w:val="000000" w:themeColor="text1"/>
          <w:sz w:val="22"/>
          <w:szCs w:val="22"/>
        </w:rPr>
        <w:t>Cryptosporidium</w:t>
      </w:r>
      <w:r w:rsidRPr="00964FDD">
        <w:rPr>
          <w:rFonts w:ascii="Calibri" w:hAnsi="Calibri" w:cs="Calibri"/>
          <w:color w:val="000000" w:themeColor="text1"/>
          <w:sz w:val="22"/>
          <w:szCs w:val="22"/>
        </w:rPr>
        <w:t xml:space="preserve"> and other microbial contaminants are available from the Safe Drinking Water Hotline </w:t>
      </w:r>
      <w:hyperlink r:id="rId9" w:history="1">
        <w:r w:rsidR="00686C8F" w:rsidRPr="00964FDD">
          <w:rPr>
            <w:rStyle w:val="Hyperlink"/>
            <w:rFonts w:ascii="Calibri" w:eastAsiaTheme="majorEastAsia" w:hAnsi="Calibri" w:cs="Calibri"/>
            <w:color w:val="000000" w:themeColor="text1"/>
            <w:sz w:val="22"/>
            <w:szCs w:val="22"/>
            <w:u w:val="none"/>
          </w:rPr>
          <w:t>(</w:t>
        </w:r>
        <w:r w:rsidRPr="00964FDD">
          <w:rPr>
            <w:rStyle w:val="Hyperlink"/>
            <w:rFonts w:ascii="Calibri" w:eastAsiaTheme="majorEastAsia" w:hAnsi="Calibri" w:cs="Calibri"/>
            <w:color w:val="000000" w:themeColor="text1"/>
            <w:sz w:val="22"/>
            <w:szCs w:val="22"/>
            <w:u w:val="none"/>
          </w:rPr>
          <w:t>800-426-4791</w:t>
        </w:r>
      </w:hyperlink>
      <w:r w:rsidR="00686C8F" w:rsidRPr="00964FDD">
        <w:rPr>
          <w:rFonts w:ascii="Calibri" w:hAnsi="Calibri" w:cs="Calibri"/>
          <w:color w:val="000000" w:themeColor="text1"/>
          <w:sz w:val="22"/>
          <w:szCs w:val="22"/>
        </w:rPr>
        <w:t xml:space="preserve">) or on EPA’s website </w:t>
      </w:r>
      <w:r w:rsidR="00686C8F" w:rsidRPr="00964FDD">
        <w:rPr>
          <w:rFonts w:ascii="Calibri" w:hAnsi="Calibri" w:cs="Calibri"/>
          <w:i/>
          <w:iCs/>
          <w:color w:val="000000" w:themeColor="text1"/>
          <w:sz w:val="22"/>
          <w:szCs w:val="22"/>
        </w:rPr>
        <w:t>epa.gov/safewater.</w:t>
      </w:r>
    </w:p>
    <w:p w14:paraId="2EE16B68" w14:textId="77777777" w:rsidR="00700B66" w:rsidRPr="005C3A62" w:rsidRDefault="00700B66" w:rsidP="00700B66">
      <w:pPr>
        <w:spacing w:before="80" w:after="80"/>
        <w:rPr>
          <w:rFonts w:ascii="Calibri" w:hAnsi="Calibri" w:cs="Calibri"/>
          <w:b/>
          <w:sz w:val="22"/>
          <w:szCs w:val="22"/>
        </w:rPr>
      </w:pPr>
      <w:r w:rsidRPr="005C3A62">
        <w:rPr>
          <w:rFonts w:ascii="Calibri" w:hAnsi="Calibri" w:cs="Calibri"/>
          <w:b/>
          <w:sz w:val="22"/>
          <w:szCs w:val="22"/>
        </w:rPr>
        <w:t>Lead Service Line Inventory</w:t>
      </w:r>
    </w:p>
    <w:p w14:paraId="5D194E65" w14:textId="65058DF4" w:rsidR="00700B66" w:rsidRPr="005C3A62" w:rsidRDefault="00700B66" w:rsidP="00202696">
      <w:pPr>
        <w:spacing w:after="120"/>
        <w:rPr>
          <w:rFonts w:ascii="Calibri" w:hAnsi="Calibri" w:cs="Calibri"/>
          <w:bCs/>
          <w:sz w:val="22"/>
          <w:szCs w:val="22"/>
        </w:rPr>
      </w:pPr>
      <w:r w:rsidRPr="005C3A62">
        <w:rPr>
          <w:rFonts w:ascii="Calibri" w:hAnsi="Calibri" w:cs="Calibri"/>
          <w:bCs/>
          <w:sz w:val="22"/>
          <w:szCs w:val="22"/>
        </w:rPr>
        <w:t xml:space="preserve">A service line inventory has been prepared and can be accessed </w:t>
      </w:r>
      <w:r w:rsidR="00964FDD">
        <w:rPr>
          <w:rFonts w:ascii="Calibri" w:hAnsi="Calibri" w:cs="Calibri"/>
          <w:bCs/>
          <w:sz w:val="22"/>
          <w:szCs w:val="22"/>
        </w:rPr>
        <w:t>on the Grasmere Village Precinct Web Site.  The Grasmere Village and Landmark water systems have no Lead service lines in the system.</w:t>
      </w:r>
    </w:p>
    <w:p w14:paraId="0877F0DA" w14:textId="77777777" w:rsidR="00202696" w:rsidRDefault="00202696" w:rsidP="00202696">
      <w:pPr>
        <w:spacing w:after="120"/>
        <w:rPr>
          <w:rFonts w:ascii="Calibri" w:hAnsi="Calibri" w:cs="Calibri"/>
          <w:b/>
          <w:sz w:val="22"/>
          <w:szCs w:val="22"/>
        </w:rPr>
      </w:pPr>
      <w:r w:rsidRPr="005C3A62">
        <w:rPr>
          <w:rFonts w:ascii="Calibri" w:hAnsi="Calibri" w:cs="Calibri"/>
          <w:b/>
          <w:sz w:val="22"/>
          <w:szCs w:val="22"/>
        </w:rPr>
        <w:t>Source Water Assessment Summary</w:t>
      </w:r>
    </w:p>
    <w:p w14:paraId="0F392800" w14:textId="1EA12B07" w:rsidR="00202696" w:rsidRPr="005C3A62" w:rsidRDefault="00964FDD" w:rsidP="0045431F">
      <w:pPr>
        <w:spacing w:after="120"/>
        <w:rPr>
          <w:rFonts w:ascii="Calibri" w:hAnsi="Calibri" w:cs="Calibri"/>
          <w:sz w:val="22"/>
          <w:szCs w:val="22"/>
        </w:rPr>
      </w:pPr>
      <w:r w:rsidRPr="0045431F">
        <w:rPr>
          <w:rFonts w:ascii="Roboto" w:hAnsi="Roboto"/>
          <w:sz w:val="22"/>
          <w:szCs w:val="22"/>
        </w:rPr>
        <w:t xml:space="preserve">The </w:t>
      </w:r>
      <w:hyperlink r:id="rId10" w:tgtFrame="_blank" w:history="1">
        <w:r w:rsidRPr="0045431F">
          <w:rPr>
            <w:rFonts w:ascii="Roboto" w:hAnsi="Roboto"/>
            <w:sz w:val="22"/>
            <w:szCs w:val="22"/>
          </w:rPr>
          <w:t>New Hampshire Department of Environmental Services</w:t>
        </w:r>
      </w:hyperlink>
      <w:r w:rsidRPr="0045431F">
        <w:rPr>
          <w:rFonts w:ascii="Roboto" w:hAnsi="Roboto"/>
          <w:sz w:val="22"/>
          <w:szCs w:val="22"/>
        </w:rPr>
        <w:t xml:space="preserve"> (NH DES) conducted an </w:t>
      </w:r>
      <w:hyperlink r:id="rId11" w:tgtFrame="_blank" w:history="1">
        <w:r w:rsidRPr="0045431F">
          <w:rPr>
            <w:rFonts w:ascii="Roboto" w:hAnsi="Roboto"/>
            <w:sz w:val="22"/>
            <w:szCs w:val="22"/>
          </w:rPr>
          <w:t>Assessment of Public Water Supply Sources for Goffstown</w:t>
        </w:r>
      </w:hyperlink>
      <w:r w:rsidRPr="0045431F">
        <w:rPr>
          <w:rFonts w:ascii="Roboto" w:hAnsi="Roboto"/>
          <w:sz w:val="22"/>
          <w:szCs w:val="22"/>
        </w:rPr>
        <w:t>, which evaluates the vulnerability of the source water from Manchester prior to distribution.</w:t>
      </w:r>
      <w:r w:rsidR="0045431F" w:rsidRPr="0045431F">
        <w:rPr>
          <w:rFonts w:ascii="Roboto" w:hAnsi="Roboto"/>
          <w:sz w:val="22"/>
          <w:szCs w:val="22"/>
        </w:rPr>
        <w:t xml:space="preserve">  The results of this can be found in the Manchester Water Works Consumer Report, which is linked above</w:t>
      </w:r>
      <w:r w:rsidR="0045431F">
        <w:rPr>
          <w:rFonts w:ascii="Roboto" w:hAnsi="Roboto"/>
        </w:rPr>
        <w:t>.</w:t>
      </w:r>
    </w:p>
    <w:p w14:paraId="1EC03A81" w14:textId="229B6E6C" w:rsidR="00202696" w:rsidRPr="005C3A62" w:rsidRDefault="00202696" w:rsidP="00202696">
      <w:pPr>
        <w:autoSpaceDE w:val="0"/>
        <w:autoSpaceDN w:val="0"/>
        <w:adjustRightInd w:val="0"/>
        <w:spacing w:after="160"/>
        <w:rPr>
          <w:rFonts w:ascii="Calibri" w:hAnsi="Calibri" w:cs="Calibri"/>
          <w:color w:val="0000FF"/>
          <w:sz w:val="22"/>
          <w:szCs w:val="22"/>
        </w:rPr>
      </w:pPr>
      <w:r w:rsidRPr="005C3A62">
        <w:rPr>
          <w:rFonts w:ascii="Calibri" w:hAnsi="Calibri" w:cs="Calibri"/>
          <w:sz w:val="22"/>
          <w:szCs w:val="22"/>
        </w:rPr>
        <w:t xml:space="preserve">Note: </w:t>
      </w:r>
      <w:r w:rsidR="00D27C77" w:rsidRPr="005C3A62">
        <w:rPr>
          <w:rFonts w:ascii="Calibri" w:hAnsi="Calibri" w:cs="Calibri"/>
          <w:sz w:val="22"/>
          <w:szCs w:val="22"/>
        </w:rPr>
        <w:t xml:space="preserve">Based on the </w:t>
      </w:r>
      <w:r w:rsidRPr="005C3A62">
        <w:rPr>
          <w:rFonts w:ascii="Calibri" w:hAnsi="Calibri" w:cs="Calibri"/>
          <w:sz w:val="22"/>
          <w:szCs w:val="22"/>
        </w:rPr>
        <w:t xml:space="preserve">year the assessment </w:t>
      </w:r>
      <w:r w:rsidR="00D27C77" w:rsidRPr="005C3A62">
        <w:rPr>
          <w:rFonts w:ascii="Calibri" w:hAnsi="Calibri" w:cs="Calibri"/>
          <w:sz w:val="22"/>
          <w:szCs w:val="22"/>
        </w:rPr>
        <w:t>was</w:t>
      </w:r>
      <w:r w:rsidRPr="005C3A62">
        <w:rPr>
          <w:rFonts w:ascii="Calibri" w:hAnsi="Calibri" w:cs="Calibri"/>
          <w:sz w:val="22"/>
          <w:szCs w:val="22"/>
        </w:rPr>
        <w:t xml:space="preserve"> completed, some of the ratings may </w:t>
      </w:r>
      <w:r w:rsidR="00D27C77" w:rsidRPr="005C3A62">
        <w:rPr>
          <w:rFonts w:ascii="Calibri" w:hAnsi="Calibri" w:cs="Calibri"/>
          <w:sz w:val="22"/>
          <w:szCs w:val="22"/>
        </w:rPr>
        <w:t>differ if</w:t>
      </w:r>
      <w:r w:rsidRPr="005C3A62">
        <w:rPr>
          <w:rFonts w:ascii="Calibri" w:hAnsi="Calibri" w:cs="Calibri"/>
          <w:sz w:val="22"/>
          <w:szCs w:val="22"/>
        </w:rPr>
        <w:t xml:space="preserve"> </w:t>
      </w:r>
      <w:r w:rsidR="00D27C77" w:rsidRPr="005C3A62">
        <w:rPr>
          <w:rFonts w:ascii="Calibri" w:hAnsi="Calibri" w:cs="Calibri"/>
          <w:sz w:val="22"/>
          <w:szCs w:val="22"/>
        </w:rPr>
        <w:t xml:space="preserve">they were </w:t>
      </w:r>
      <w:r w:rsidRPr="005C3A62">
        <w:rPr>
          <w:rFonts w:ascii="Calibri" w:hAnsi="Calibri" w:cs="Calibri"/>
          <w:sz w:val="22"/>
          <w:szCs w:val="22"/>
        </w:rPr>
        <w:t>updated</w:t>
      </w:r>
      <w:r w:rsidR="00D27C77" w:rsidRPr="005C3A62">
        <w:rPr>
          <w:rFonts w:ascii="Calibri" w:hAnsi="Calibri" w:cs="Calibri"/>
          <w:sz w:val="22"/>
          <w:szCs w:val="22"/>
        </w:rPr>
        <w:t xml:space="preserve"> </w:t>
      </w:r>
      <w:r w:rsidRPr="005C3A62">
        <w:rPr>
          <w:rFonts w:ascii="Calibri" w:hAnsi="Calibri" w:cs="Calibri"/>
          <w:sz w:val="22"/>
          <w:szCs w:val="22"/>
        </w:rPr>
        <w:t>to reflect current</w:t>
      </w:r>
      <w:r w:rsidR="00D27C77" w:rsidRPr="005C3A62">
        <w:rPr>
          <w:rFonts w:ascii="Calibri" w:hAnsi="Calibri" w:cs="Calibri"/>
          <w:sz w:val="22"/>
          <w:szCs w:val="22"/>
        </w:rPr>
        <w:t xml:space="preserve"> assessment</w:t>
      </w:r>
      <w:r w:rsidRPr="005C3A62">
        <w:rPr>
          <w:rFonts w:ascii="Calibri" w:hAnsi="Calibri" w:cs="Calibri"/>
          <w:sz w:val="22"/>
          <w:szCs w:val="22"/>
        </w:rPr>
        <w:t xml:space="preserve"> information.   </w:t>
      </w:r>
    </w:p>
    <w:p w14:paraId="41EE662A" w14:textId="77777777" w:rsidR="00202696" w:rsidRPr="005C3A62" w:rsidRDefault="00202696" w:rsidP="00202696">
      <w:pPr>
        <w:spacing w:after="120"/>
        <w:rPr>
          <w:rFonts w:ascii="Calibri" w:hAnsi="Calibri" w:cs="Calibri"/>
          <w:b/>
          <w:sz w:val="22"/>
          <w:szCs w:val="22"/>
        </w:rPr>
      </w:pPr>
      <w:r w:rsidRPr="005C3A62">
        <w:rPr>
          <w:rFonts w:ascii="Calibri" w:hAnsi="Calibri" w:cs="Calibri"/>
          <w:b/>
          <w:sz w:val="22"/>
          <w:szCs w:val="22"/>
        </w:rPr>
        <w:t>How can I get involved?</w:t>
      </w:r>
    </w:p>
    <w:p w14:paraId="2866931A" w14:textId="77F37A6C" w:rsidR="00202696" w:rsidRPr="005C3A62" w:rsidRDefault="00202696" w:rsidP="00202696">
      <w:pPr>
        <w:autoSpaceDE w:val="0"/>
        <w:autoSpaceDN w:val="0"/>
        <w:adjustRightInd w:val="0"/>
        <w:spacing w:after="120"/>
        <w:rPr>
          <w:rFonts w:ascii="Calibri" w:hAnsi="Calibri" w:cs="Calibri"/>
          <w:color w:val="0000FF"/>
          <w:sz w:val="22"/>
          <w:szCs w:val="22"/>
        </w:rPr>
      </w:pPr>
      <w:r w:rsidRPr="0045431F">
        <w:rPr>
          <w:rFonts w:ascii="Calibri" w:hAnsi="Calibri" w:cs="Calibri"/>
          <w:sz w:val="22"/>
          <w:szCs w:val="22"/>
        </w:rPr>
        <w:t xml:space="preserve">For more information about your drinking water, please call </w:t>
      </w:r>
      <w:r w:rsidR="0045431F" w:rsidRPr="0045431F">
        <w:rPr>
          <w:rFonts w:ascii="Calibri" w:hAnsi="Calibri" w:cs="Calibri"/>
          <w:sz w:val="22"/>
          <w:szCs w:val="22"/>
        </w:rPr>
        <w:t xml:space="preserve">Primary Operator, Lee Minnich </w:t>
      </w:r>
      <w:proofErr w:type="gramStart"/>
      <w:r w:rsidR="0045431F" w:rsidRPr="0045431F">
        <w:rPr>
          <w:rFonts w:ascii="Calibri" w:hAnsi="Calibri" w:cs="Calibri"/>
          <w:sz w:val="22"/>
          <w:szCs w:val="22"/>
        </w:rPr>
        <w:t>at</w:t>
      </w:r>
      <w:proofErr w:type="gramEnd"/>
      <w:r w:rsidR="0045431F" w:rsidRPr="0045431F">
        <w:rPr>
          <w:rFonts w:ascii="Calibri" w:hAnsi="Calibri" w:cs="Calibri"/>
          <w:sz w:val="22"/>
          <w:szCs w:val="22"/>
        </w:rPr>
        <w:t xml:space="preserve"> 603 497-8346</w:t>
      </w:r>
      <w:r w:rsidR="0045431F">
        <w:rPr>
          <w:rFonts w:ascii="Calibri" w:hAnsi="Calibri" w:cs="Calibri"/>
          <w:color w:val="0000FF"/>
          <w:sz w:val="22"/>
          <w:szCs w:val="22"/>
        </w:rPr>
        <w:t xml:space="preserve">. </w:t>
      </w:r>
      <w:r w:rsidR="0045431F" w:rsidRPr="0045431F">
        <w:rPr>
          <w:rFonts w:ascii="Calibri" w:hAnsi="Calibri" w:cs="Calibri"/>
          <w:sz w:val="22"/>
          <w:szCs w:val="22"/>
        </w:rPr>
        <w:t>The Board of Commissioners meets on the Third Tuesday at 7pm at the Grasmere Town Hall</w:t>
      </w:r>
      <w:r w:rsidR="0045431F">
        <w:rPr>
          <w:rFonts w:ascii="Calibri" w:hAnsi="Calibri" w:cs="Calibri"/>
          <w:sz w:val="22"/>
          <w:szCs w:val="22"/>
        </w:rPr>
        <w:t xml:space="preserve">. </w:t>
      </w:r>
      <w:r w:rsidRPr="005C3A62">
        <w:rPr>
          <w:rFonts w:ascii="Calibri" w:hAnsi="Calibri" w:cs="Calibri"/>
          <w:color w:val="000000"/>
          <w:sz w:val="22"/>
          <w:szCs w:val="22"/>
        </w:rPr>
        <w:t>Although we do not have specific dates for public participation events, feel free to contact us with your questions.</w:t>
      </w:r>
    </w:p>
    <w:p w14:paraId="445E0D09" w14:textId="00382CCC" w:rsidR="00202696" w:rsidRPr="0045431F" w:rsidRDefault="00202696" w:rsidP="00202696">
      <w:pPr>
        <w:spacing w:after="120"/>
        <w:rPr>
          <w:rFonts w:ascii="Calibri" w:hAnsi="Calibri" w:cs="Calibri"/>
          <w:sz w:val="22"/>
          <w:szCs w:val="22"/>
        </w:rPr>
      </w:pPr>
      <w:r w:rsidRPr="0045431F">
        <w:rPr>
          <w:rFonts w:ascii="Calibri" w:hAnsi="Calibri" w:cs="Calibri"/>
          <w:b/>
          <w:sz w:val="22"/>
          <w:szCs w:val="22"/>
        </w:rPr>
        <w:t xml:space="preserve">Violations and Other information: </w:t>
      </w:r>
      <w:r w:rsidR="0045431F" w:rsidRPr="0045431F">
        <w:rPr>
          <w:rFonts w:ascii="Calibri" w:hAnsi="Calibri" w:cs="Calibri"/>
          <w:sz w:val="22"/>
          <w:szCs w:val="22"/>
        </w:rPr>
        <w:t>The Grasmere Village Prec</w:t>
      </w:r>
      <w:r w:rsidR="00874466">
        <w:rPr>
          <w:rFonts w:ascii="Calibri" w:hAnsi="Calibri" w:cs="Calibri"/>
          <w:sz w:val="22"/>
          <w:szCs w:val="22"/>
        </w:rPr>
        <w:t>inct</w:t>
      </w:r>
      <w:r w:rsidR="0045431F" w:rsidRPr="0045431F">
        <w:rPr>
          <w:rFonts w:ascii="Calibri" w:hAnsi="Calibri" w:cs="Calibri"/>
          <w:sz w:val="22"/>
          <w:szCs w:val="22"/>
        </w:rPr>
        <w:t xml:space="preserve"> has not had any violations in the past year.</w:t>
      </w:r>
    </w:p>
    <w:p w14:paraId="404F7CA9" w14:textId="77777777" w:rsidR="005A79F0" w:rsidRPr="005C3A62" w:rsidRDefault="005A79F0" w:rsidP="005A79F0">
      <w:pPr>
        <w:spacing w:after="120"/>
        <w:rPr>
          <w:rFonts w:ascii="Calibri" w:hAnsi="Calibri" w:cs="Calibri"/>
          <w:b/>
          <w:sz w:val="22"/>
          <w:szCs w:val="22"/>
        </w:rPr>
      </w:pPr>
      <w:r w:rsidRPr="005C3A62">
        <w:rPr>
          <w:rFonts w:ascii="Calibri" w:hAnsi="Calibri" w:cs="Calibri"/>
          <w:b/>
          <w:sz w:val="22"/>
          <w:szCs w:val="22"/>
        </w:rPr>
        <w:t>Drinking Water Contaminants:</w:t>
      </w:r>
    </w:p>
    <w:p w14:paraId="3DD31FE2" w14:textId="0D6ED538" w:rsidR="00D27C77" w:rsidRPr="00874466" w:rsidRDefault="004A425C" w:rsidP="005A79F0">
      <w:pPr>
        <w:rPr>
          <w:rStyle w:val="cf51"/>
          <w:color w:val="auto"/>
          <w:sz w:val="22"/>
          <w:szCs w:val="22"/>
        </w:rPr>
      </w:pPr>
      <w:r w:rsidRPr="005C3A62">
        <w:rPr>
          <w:rStyle w:val="cf01"/>
          <w:rFonts w:eastAsiaTheme="majorEastAsia"/>
          <w:sz w:val="22"/>
          <w:szCs w:val="22"/>
        </w:rPr>
        <w:t>Lead:</w:t>
      </w:r>
      <w:r w:rsidRPr="005C3A62">
        <w:rPr>
          <w:rStyle w:val="cf11"/>
          <w:rFonts w:eastAsiaTheme="majorEastAsia"/>
          <w:sz w:val="22"/>
          <w:szCs w:val="22"/>
        </w:rPr>
        <w:t xml:space="preserve"> </w:t>
      </w:r>
      <w:r w:rsidRPr="00874466">
        <w:rPr>
          <w:rStyle w:val="cf21"/>
          <w:color w:val="auto"/>
          <w:sz w:val="22"/>
          <w:szCs w:val="22"/>
        </w:rPr>
        <w:t xml:space="preserve">Lead can cause serious health effects in people of all ages, especially pregnant people, infants (both formula-fed and breastfed), and young children. Lead in drinking water is primarily from materials and parts used in service lines and in home plumbing. </w:t>
      </w:r>
      <w:r w:rsidR="00874466" w:rsidRPr="00874466">
        <w:rPr>
          <w:rStyle w:val="cf21"/>
          <w:color w:val="auto"/>
          <w:sz w:val="22"/>
          <w:szCs w:val="22"/>
        </w:rPr>
        <w:t xml:space="preserve">Grasmere Village Precinct </w:t>
      </w:r>
      <w:r w:rsidRPr="00874466">
        <w:rPr>
          <w:rStyle w:val="cf21"/>
          <w:color w:val="auto"/>
          <w:sz w:val="22"/>
          <w:szCs w:val="22"/>
        </w:rPr>
        <w:t xml:space="preserve">is responsible for providing high quality drinking water and removing lead pipes but cannot control the variety of materials used in the plumbing in your home. Because lead levels may vary over time, lead exposure is possible even when your tap sampling results do not detect lead at one point in time. You can help protect yourself and your family by identifying and removing lead materials within your home plumbing and taking steps to reduce your family's risk. Using a filter, certified by an American National Standards </w:t>
      </w:r>
      <w:r w:rsidRPr="00874466">
        <w:rPr>
          <w:rStyle w:val="cf21"/>
          <w:color w:val="auto"/>
          <w:sz w:val="22"/>
          <w:szCs w:val="22"/>
        </w:rPr>
        <w:lastRenderedPageBreak/>
        <w:t xml:space="preserve">Institute accredited certifier to reduce lead, is effective in reducing lead exposures. Follow the instructions provided with the filter to ensure the filter is used properly. Use only cold water for drinking, cooking, and making baby formula. Boiling water does not remove lead from water. Before using tap water for drinking, cooking, or making baby formula, flush your pipes for several minutes. You can do this by running your tap, taking a shower, doing laundry or a load of dishes. If you have a lead service line or galvanized requiring replacement service line, you may need to </w:t>
      </w:r>
      <w:r w:rsidR="00FF71D6" w:rsidRPr="00874466">
        <w:rPr>
          <w:rStyle w:val="cf21"/>
          <w:color w:val="auto"/>
          <w:sz w:val="22"/>
          <w:szCs w:val="22"/>
        </w:rPr>
        <w:t xml:space="preserve">flush your pipes for a longer period. If you are concerned about </w:t>
      </w:r>
      <w:proofErr w:type="gramStart"/>
      <w:r w:rsidR="00FF71D6" w:rsidRPr="00874466">
        <w:rPr>
          <w:rStyle w:val="cf21"/>
          <w:color w:val="auto"/>
          <w:sz w:val="22"/>
          <w:szCs w:val="22"/>
        </w:rPr>
        <w:t>lead</w:t>
      </w:r>
      <w:proofErr w:type="gramEnd"/>
      <w:r w:rsidR="00FF71D6" w:rsidRPr="00874466">
        <w:rPr>
          <w:rStyle w:val="cf21"/>
          <w:color w:val="auto"/>
          <w:sz w:val="22"/>
          <w:szCs w:val="22"/>
        </w:rPr>
        <w:t xml:space="preserve"> in your water and wish to have your water tested, contact </w:t>
      </w:r>
      <w:r w:rsidR="00874466">
        <w:rPr>
          <w:rStyle w:val="cf21"/>
          <w:color w:val="auto"/>
          <w:sz w:val="22"/>
          <w:szCs w:val="22"/>
        </w:rPr>
        <w:t>Grasmere Village Precinct at (603) 497-8346</w:t>
      </w:r>
      <w:r w:rsidRPr="00874466">
        <w:rPr>
          <w:rStyle w:val="cf21"/>
          <w:color w:val="auto"/>
          <w:sz w:val="22"/>
          <w:szCs w:val="22"/>
        </w:rPr>
        <w:t>. Information on lead in drinking water, testing methods, and steps you can take to minimize exposure is available at</w:t>
      </w:r>
      <w:r w:rsidRPr="00874466">
        <w:rPr>
          <w:rStyle w:val="cf11"/>
          <w:rFonts w:eastAsiaTheme="majorEastAsia"/>
          <w:sz w:val="22"/>
          <w:szCs w:val="22"/>
        </w:rPr>
        <w:t xml:space="preserve"> </w:t>
      </w:r>
      <w:hyperlink r:id="rId12" w:history="1">
        <w:r w:rsidRPr="00874466">
          <w:rPr>
            <w:rStyle w:val="cf41"/>
            <w:sz w:val="22"/>
            <w:szCs w:val="22"/>
            <w:u w:val="single"/>
          </w:rPr>
          <w:t>https://www.epa.gov/safewater/lead</w:t>
        </w:r>
      </w:hyperlink>
      <w:r w:rsidRPr="00874466">
        <w:rPr>
          <w:rStyle w:val="cf51"/>
          <w:color w:val="auto"/>
          <w:sz w:val="22"/>
          <w:szCs w:val="22"/>
        </w:rPr>
        <w:t>.</w:t>
      </w:r>
    </w:p>
    <w:p w14:paraId="55AD2C6A" w14:textId="7FE5EF5B" w:rsidR="005A79F0" w:rsidRPr="005C3A62" w:rsidRDefault="005A79F0" w:rsidP="007420BF">
      <w:pPr>
        <w:spacing w:before="240" w:after="120"/>
        <w:rPr>
          <w:rFonts w:ascii="Calibri" w:hAnsi="Calibri" w:cs="Calibri"/>
          <w:i/>
          <w:iCs/>
          <w:color w:val="0000FF"/>
          <w:sz w:val="22"/>
          <w:szCs w:val="22"/>
        </w:rPr>
      </w:pPr>
      <w:r w:rsidRPr="005C3A62">
        <w:rPr>
          <w:rFonts w:ascii="Calibri" w:hAnsi="Calibri" w:cs="Calibri"/>
          <w:b/>
          <w:bCs/>
          <w:sz w:val="22"/>
          <w:szCs w:val="22"/>
        </w:rPr>
        <w:t xml:space="preserve">Health Effects of </w:t>
      </w:r>
      <w:r w:rsidR="00874466" w:rsidRPr="00874466">
        <w:rPr>
          <w:rFonts w:ascii="Calibri" w:hAnsi="Calibri" w:cs="Calibri"/>
          <w:b/>
          <w:bCs/>
          <w:sz w:val="22"/>
          <w:szCs w:val="22"/>
        </w:rPr>
        <w:t xml:space="preserve">Lead </w:t>
      </w:r>
      <w:r w:rsidR="00874466" w:rsidRPr="00874466">
        <w:rPr>
          <w:rFonts w:ascii="Calibri" w:hAnsi="Calibri" w:cs="Calibri"/>
          <w:sz w:val="22"/>
          <w:szCs w:val="22"/>
        </w:rPr>
        <w:t>Exposure</w:t>
      </w:r>
      <w:r w:rsidRPr="00874466">
        <w:rPr>
          <w:rFonts w:ascii="Calibri" w:hAnsi="Calibri" w:cs="Calibri"/>
          <w:sz w:val="22"/>
          <w:szCs w:val="22"/>
        </w:rPr>
        <w:t xml:space="preserve"> to lead in drinking water can cause serious health effects in all age groups. Infants and children can have decreases in IQ and attention span. Lead exposure can lead to new learning and behavior problems or exacerbate existing learning and behavior problems. The children of women who are exposed to lead before or during pregnancy can have increased risk of these adverse health effects. Adults can have increased risks of heart disease, high blood pressure, kidney or nervous system problems.</w:t>
      </w:r>
    </w:p>
    <w:p w14:paraId="24249F7A" w14:textId="4ACF3E54" w:rsidR="00CD5579" w:rsidRPr="00874466" w:rsidRDefault="00CD5579" w:rsidP="00CD5579">
      <w:pPr>
        <w:rPr>
          <w:rFonts w:ascii="Calibri" w:hAnsi="Calibri" w:cs="Calibri"/>
          <w:sz w:val="22"/>
          <w:szCs w:val="22"/>
        </w:rPr>
      </w:pPr>
      <w:r w:rsidRPr="005C3A62">
        <w:rPr>
          <w:rFonts w:ascii="Calibri" w:hAnsi="Calibri" w:cs="Calibri"/>
          <w:b/>
          <w:bCs/>
          <w:sz w:val="22"/>
          <w:szCs w:val="22"/>
        </w:rPr>
        <w:t xml:space="preserve">Lead In Schools  </w:t>
      </w:r>
      <w:r w:rsidRPr="00874466">
        <w:rPr>
          <w:rFonts w:ascii="Calibri" w:hAnsi="Calibri" w:cs="Calibri"/>
          <w:sz w:val="22"/>
          <w:szCs w:val="22"/>
        </w:rPr>
        <w:t xml:space="preserve">Per RSA 485:17-a, all NH schools and licensed child care facilities must test for lead at all drinking water outlets where children can drink the water and to remediate any outlets testing at or above 5 ppb.  Three rounds of testing at least 6 months apart are required. A comprehensive list of facilities and results are available at </w:t>
      </w:r>
      <w:hyperlink r:id="rId13" w:tgtFrame="_blank" w:tooltip="https://www.gettheleadoutnh.org/" w:history="1">
        <w:r w:rsidRPr="00874466">
          <w:rPr>
            <w:rStyle w:val="Hyperlink"/>
            <w:rFonts w:ascii="Calibri" w:eastAsiaTheme="majorEastAsia" w:hAnsi="Calibri" w:cs="Calibri"/>
            <w:color w:val="auto"/>
            <w:sz w:val="22"/>
            <w:szCs w:val="22"/>
          </w:rPr>
          <w:t>www.gettheleadoutnh.org</w:t>
        </w:r>
      </w:hyperlink>
      <w:r w:rsidRPr="00874466">
        <w:rPr>
          <w:rFonts w:ascii="Calibri" w:hAnsi="Calibri" w:cs="Calibri"/>
          <w:sz w:val="22"/>
          <w:szCs w:val="22"/>
        </w:rPr>
        <w:t xml:space="preserve"> or direct link here: </w:t>
      </w:r>
      <w:hyperlink r:id="rId14" w:tgtFrame="_blank" w:tooltip="https://www.des.nh.gov/water/drinking-water/lead/schools-and-child-care-programs/view-results" w:history="1">
        <w:r w:rsidRPr="00874466">
          <w:rPr>
            <w:rStyle w:val="Hyperlink"/>
            <w:rFonts w:ascii="Calibri" w:eastAsiaTheme="majorEastAsia" w:hAnsi="Calibri" w:cs="Calibri"/>
            <w:color w:val="auto"/>
            <w:sz w:val="22"/>
            <w:szCs w:val="22"/>
          </w:rPr>
          <w:t>View Results | NH Department of Environmental Services</w:t>
        </w:r>
      </w:hyperlink>
      <w:r w:rsidRPr="00874466">
        <w:rPr>
          <w:rFonts w:ascii="Calibri" w:hAnsi="Calibri" w:cs="Calibri"/>
          <w:sz w:val="22"/>
          <w:szCs w:val="22"/>
        </w:rPr>
        <w:t>.</w:t>
      </w:r>
    </w:p>
    <w:p w14:paraId="6726EFA1" w14:textId="281C7ECD" w:rsidR="00202696" w:rsidRPr="005C3A62" w:rsidRDefault="00202696" w:rsidP="007420BF">
      <w:pPr>
        <w:spacing w:before="240" w:after="120"/>
        <w:rPr>
          <w:rFonts w:ascii="Calibri" w:hAnsi="Calibri" w:cs="Calibri"/>
          <w:sz w:val="22"/>
          <w:szCs w:val="22"/>
          <w:highlight w:val="yellow"/>
        </w:rPr>
      </w:pPr>
      <w:r w:rsidRPr="005C3A62">
        <w:rPr>
          <w:rFonts w:ascii="Calibri" w:hAnsi="Calibri" w:cs="Calibri"/>
          <w:b/>
          <w:sz w:val="22"/>
          <w:szCs w:val="22"/>
        </w:rPr>
        <w:t xml:space="preserve">Definitions </w:t>
      </w:r>
    </w:p>
    <w:p w14:paraId="35FF7A79" w14:textId="6E62C72F" w:rsidR="00202696" w:rsidRPr="00874466" w:rsidRDefault="00202696" w:rsidP="00202696">
      <w:pPr>
        <w:spacing w:after="120"/>
        <w:rPr>
          <w:rFonts w:ascii="Calibri" w:hAnsi="Calibri" w:cs="Calibri"/>
          <w:sz w:val="22"/>
          <w:szCs w:val="22"/>
        </w:rPr>
      </w:pPr>
      <w:r w:rsidRPr="00874466">
        <w:rPr>
          <w:rFonts w:ascii="Calibri" w:hAnsi="Calibri" w:cs="Calibri"/>
          <w:b/>
          <w:sz w:val="22"/>
          <w:szCs w:val="22"/>
        </w:rPr>
        <w:t>Maximum Contaminant Level</w:t>
      </w:r>
      <w:r w:rsidRPr="00874466">
        <w:rPr>
          <w:rFonts w:ascii="Calibri" w:hAnsi="Calibri" w:cs="Calibri"/>
          <w:sz w:val="22"/>
          <w:szCs w:val="22"/>
        </w:rPr>
        <w:t xml:space="preserve"> or </w:t>
      </w:r>
      <w:smartTag w:uri="urn:schemas-microsoft-com:office:smarttags" w:element="stockticker">
        <w:r w:rsidRPr="00874466">
          <w:rPr>
            <w:rFonts w:ascii="Calibri" w:hAnsi="Calibri" w:cs="Calibri"/>
            <w:b/>
            <w:sz w:val="22"/>
            <w:szCs w:val="22"/>
          </w:rPr>
          <w:t>MCL</w:t>
        </w:r>
      </w:smartTag>
      <w:r w:rsidRPr="00874466">
        <w:rPr>
          <w:rFonts w:ascii="Calibri" w:hAnsi="Calibri" w:cs="Calibri"/>
          <w:sz w:val="22"/>
          <w:szCs w:val="22"/>
        </w:rPr>
        <w:t xml:space="preserve">: The highest level of </w:t>
      </w:r>
      <w:r w:rsidR="00874466" w:rsidRPr="00874466">
        <w:rPr>
          <w:rFonts w:ascii="Calibri" w:hAnsi="Calibri" w:cs="Calibri"/>
          <w:sz w:val="22"/>
          <w:szCs w:val="22"/>
        </w:rPr>
        <w:t>contaminant</w:t>
      </w:r>
      <w:r w:rsidRPr="00874466">
        <w:rPr>
          <w:rFonts w:ascii="Calibri" w:hAnsi="Calibri" w:cs="Calibri"/>
          <w:sz w:val="22"/>
          <w:szCs w:val="22"/>
        </w:rPr>
        <w:t xml:space="preserve"> that is allowed in drinking water. MCLs are set as close to the MCLGs as feasible using the best available treatment technology.</w:t>
      </w:r>
    </w:p>
    <w:p w14:paraId="250A51B2" w14:textId="77777777" w:rsidR="00202696" w:rsidRPr="00874466" w:rsidRDefault="00202696" w:rsidP="00202696">
      <w:pPr>
        <w:spacing w:after="120"/>
        <w:rPr>
          <w:rFonts w:ascii="Calibri" w:hAnsi="Calibri" w:cs="Calibri"/>
          <w:sz w:val="22"/>
          <w:szCs w:val="22"/>
        </w:rPr>
      </w:pPr>
      <w:r w:rsidRPr="00874466">
        <w:rPr>
          <w:rFonts w:ascii="Calibri" w:hAnsi="Calibri" w:cs="Calibri"/>
          <w:b/>
          <w:sz w:val="22"/>
          <w:szCs w:val="22"/>
        </w:rPr>
        <w:t xml:space="preserve">Maximum Contaminant Level Goal </w:t>
      </w:r>
      <w:r w:rsidRPr="00874466">
        <w:rPr>
          <w:rFonts w:ascii="Calibri" w:hAnsi="Calibri" w:cs="Calibri"/>
          <w:sz w:val="22"/>
          <w:szCs w:val="22"/>
        </w:rPr>
        <w:t>or</w:t>
      </w:r>
      <w:r w:rsidRPr="00874466">
        <w:rPr>
          <w:rFonts w:ascii="Calibri" w:hAnsi="Calibri" w:cs="Calibri"/>
          <w:b/>
          <w:sz w:val="22"/>
          <w:szCs w:val="22"/>
        </w:rPr>
        <w:t xml:space="preserve"> MCLG: </w:t>
      </w:r>
      <w:r w:rsidRPr="00874466">
        <w:rPr>
          <w:rFonts w:ascii="Calibri" w:hAnsi="Calibri" w:cs="Calibri"/>
          <w:sz w:val="22"/>
          <w:szCs w:val="22"/>
        </w:rPr>
        <w:t>The level of a contaminant in drinking water below which there is no known or expected risk to health. MCLGs allow for a margin of safety.</w:t>
      </w:r>
    </w:p>
    <w:p w14:paraId="17ECD60F" w14:textId="77777777" w:rsidR="00202696" w:rsidRPr="005C3A62" w:rsidRDefault="00202696" w:rsidP="00202696">
      <w:pPr>
        <w:spacing w:after="120"/>
        <w:rPr>
          <w:rFonts w:ascii="Calibri" w:hAnsi="Calibri" w:cs="Calibri"/>
          <w:sz w:val="22"/>
          <w:szCs w:val="22"/>
        </w:rPr>
      </w:pPr>
      <w:r w:rsidRPr="005C3A62">
        <w:rPr>
          <w:rFonts w:ascii="Calibri" w:hAnsi="Calibri" w:cs="Calibri"/>
          <w:b/>
          <w:sz w:val="22"/>
          <w:szCs w:val="22"/>
        </w:rPr>
        <w:t>Maximum Residual Disinfectant Level</w:t>
      </w:r>
      <w:r w:rsidRPr="005C3A62">
        <w:rPr>
          <w:rFonts w:ascii="Calibri" w:hAnsi="Calibri" w:cs="Calibri"/>
          <w:sz w:val="22"/>
          <w:szCs w:val="22"/>
        </w:rPr>
        <w:t xml:space="preserve"> or </w:t>
      </w:r>
      <w:r w:rsidRPr="005C3A62">
        <w:rPr>
          <w:rFonts w:ascii="Calibri" w:hAnsi="Calibri" w:cs="Calibri"/>
          <w:b/>
          <w:sz w:val="22"/>
          <w:szCs w:val="22"/>
        </w:rPr>
        <w:t xml:space="preserve">MRDL: </w:t>
      </w:r>
      <w:r w:rsidRPr="005C3A62">
        <w:rPr>
          <w:rFonts w:ascii="Calibri" w:hAnsi="Calibri" w:cs="Calibri"/>
          <w:sz w:val="22"/>
          <w:szCs w:val="22"/>
        </w:rPr>
        <w:t>The highest level of a disinfectant allowed in drinking water. There is convincing evidence that addition of a disinfectant is necessary for control of microbial contaminants.</w:t>
      </w:r>
    </w:p>
    <w:p w14:paraId="73DCC05B" w14:textId="77777777" w:rsidR="00202696" w:rsidRPr="005C3A62" w:rsidRDefault="00202696" w:rsidP="00202696">
      <w:pPr>
        <w:spacing w:after="120"/>
        <w:rPr>
          <w:rFonts w:ascii="Calibri" w:hAnsi="Calibri" w:cs="Calibri"/>
          <w:sz w:val="22"/>
          <w:szCs w:val="22"/>
        </w:rPr>
      </w:pPr>
      <w:r w:rsidRPr="005C3A62">
        <w:rPr>
          <w:rFonts w:ascii="Calibri" w:hAnsi="Calibri" w:cs="Calibri"/>
          <w:b/>
          <w:sz w:val="22"/>
          <w:szCs w:val="22"/>
        </w:rPr>
        <w:t>Maximum Residual Disinfectant Level Goal</w:t>
      </w:r>
      <w:r w:rsidRPr="005C3A62">
        <w:rPr>
          <w:rFonts w:ascii="Calibri" w:hAnsi="Calibri" w:cs="Calibri"/>
          <w:sz w:val="22"/>
          <w:szCs w:val="22"/>
        </w:rPr>
        <w:t xml:space="preserve"> or </w:t>
      </w:r>
      <w:r w:rsidRPr="005C3A62">
        <w:rPr>
          <w:rFonts w:ascii="Calibri" w:hAnsi="Calibri" w:cs="Calibri"/>
          <w:b/>
          <w:sz w:val="22"/>
          <w:szCs w:val="22"/>
        </w:rPr>
        <w:t xml:space="preserve">MRDLG: </w:t>
      </w:r>
      <w:r w:rsidRPr="005C3A62">
        <w:rPr>
          <w:rFonts w:ascii="Calibri" w:hAnsi="Calibri" w:cs="Calibri"/>
          <w:sz w:val="22"/>
          <w:szCs w:val="22"/>
        </w:rPr>
        <w:t>The level of a drinking water disinfectant below which there is no known or expected risk to health. MRDLGs do not reflect the benefits of the use of disinfectants to control microbial contaminants.</w:t>
      </w:r>
    </w:p>
    <w:p w14:paraId="76CC6B20" w14:textId="77777777" w:rsidR="00202696" w:rsidRPr="005C3A62" w:rsidRDefault="00202696" w:rsidP="00202696">
      <w:pPr>
        <w:spacing w:after="120"/>
        <w:rPr>
          <w:rFonts w:ascii="Calibri" w:hAnsi="Calibri" w:cs="Calibri"/>
          <w:sz w:val="22"/>
          <w:szCs w:val="22"/>
        </w:rPr>
      </w:pPr>
      <w:r w:rsidRPr="005C3A62">
        <w:rPr>
          <w:rFonts w:ascii="Calibri" w:hAnsi="Calibri" w:cs="Calibri"/>
          <w:b/>
          <w:sz w:val="22"/>
          <w:szCs w:val="22"/>
        </w:rPr>
        <w:t>Treatment Technique</w:t>
      </w:r>
      <w:r w:rsidRPr="005C3A62">
        <w:rPr>
          <w:rFonts w:ascii="Calibri" w:hAnsi="Calibri" w:cs="Calibri"/>
          <w:sz w:val="22"/>
          <w:szCs w:val="22"/>
        </w:rPr>
        <w:t xml:space="preserve"> or </w:t>
      </w:r>
      <w:r w:rsidRPr="005C3A62">
        <w:rPr>
          <w:rFonts w:ascii="Calibri" w:hAnsi="Calibri" w:cs="Calibri"/>
          <w:b/>
          <w:sz w:val="22"/>
          <w:szCs w:val="22"/>
        </w:rPr>
        <w:t>TT:</w:t>
      </w:r>
      <w:r w:rsidRPr="005C3A62">
        <w:rPr>
          <w:rFonts w:ascii="Calibri" w:hAnsi="Calibri" w:cs="Calibri"/>
          <w:sz w:val="22"/>
          <w:szCs w:val="22"/>
        </w:rPr>
        <w:t xml:space="preserve"> A required process intended to reduce the level of a contaminant in drinking water.</w:t>
      </w:r>
    </w:p>
    <w:p w14:paraId="1B36A56F" w14:textId="77777777" w:rsidR="00202696" w:rsidRPr="005C3A62" w:rsidRDefault="00202696" w:rsidP="00202696">
      <w:pPr>
        <w:autoSpaceDE w:val="0"/>
        <w:autoSpaceDN w:val="0"/>
        <w:adjustRightInd w:val="0"/>
        <w:spacing w:after="120"/>
        <w:rPr>
          <w:rFonts w:ascii="Calibri" w:hAnsi="Calibri" w:cs="Calibri"/>
          <w:b/>
          <w:iCs/>
          <w:color w:val="000000"/>
          <w:sz w:val="22"/>
          <w:szCs w:val="22"/>
        </w:rPr>
      </w:pPr>
      <w:r w:rsidRPr="005C3A62">
        <w:rPr>
          <w:rFonts w:ascii="Calibri" w:hAnsi="Calibri" w:cs="Calibri"/>
          <w:b/>
          <w:iCs/>
          <w:color w:val="000000"/>
          <w:sz w:val="22"/>
          <w:szCs w:val="22"/>
        </w:rPr>
        <w:t>Abbreviations</w:t>
      </w:r>
    </w:p>
    <w:p w14:paraId="5786DBE8" w14:textId="77777777" w:rsidR="008450BC" w:rsidRPr="005C3A62" w:rsidRDefault="008450BC" w:rsidP="00202696">
      <w:pPr>
        <w:autoSpaceDE w:val="0"/>
        <w:autoSpaceDN w:val="0"/>
        <w:adjustRightInd w:val="0"/>
        <w:spacing w:after="60"/>
        <w:rPr>
          <w:rFonts w:ascii="Calibri" w:hAnsi="Calibri" w:cs="Calibri"/>
          <w:bCs/>
          <w:color w:val="000000"/>
          <w:sz w:val="22"/>
          <w:szCs w:val="22"/>
        </w:rPr>
        <w:sectPr w:rsidR="008450BC" w:rsidRPr="005C3A62" w:rsidSect="007420BF">
          <w:headerReference w:type="first" r:id="rId15"/>
          <w:pgSz w:w="12240" w:h="15840"/>
          <w:pgMar w:top="270" w:right="1080" w:bottom="1440" w:left="1080" w:header="0" w:footer="0" w:gutter="0"/>
          <w:cols w:space="720"/>
          <w:titlePg/>
          <w:docGrid w:linePitch="360"/>
        </w:sectPr>
      </w:pPr>
    </w:p>
    <w:p w14:paraId="24404912" w14:textId="77777777" w:rsidR="00202696" w:rsidRPr="005C3A62" w:rsidRDefault="00202696" w:rsidP="00202696">
      <w:pPr>
        <w:spacing w:after="60"/>
        <w:rPr>
          <w:rFonts w:ascii="Calibri" w:hAnsi="Calibri" w:cs="Calibri"/>
          <w:sz w:val="22"/>
          <w:szCs w:val="22"/>
        </w:rPr>
      </w:pPr>
      <w:r w:rsidRPr="005C3A62">
        <w:rPr>
          <w:rFonts w:ascii="Calibri" w:hAnsi="Calibri" w:cs="Calibri"/>
          <w:sz w:val="22"/>
          <w:szCs w:val="22"/>
        </w:rPr>
        <w:t>NA: Not Applicable</w:t>
      </w:r>
      <w:r w:rsidRPr="005C3A62">
        <w:rPr>
          <w:rFonts w:ascii="Calibri" w:hAnsi="Calibri" w:cs="Calibri"/>
          <w:sz w:val="22"/>
          <w:szCs w:val="22"/>
        </w:rPr>
        <w:tab/>
      </w:r>
    </w:p>
    <w:p w14:paraId="2140CF6A" w14:textId="77777777" w:rsidR="00202696" w:rsidRPr="005C3A62" w:rsidRDefault="00202696" w:rsidP="00202696">
      <w:pPr>
        <w:autoSpaceDE w:val="0"/>
        <w:autoSpaceDN w:val="0"/>
        <w:adjustRightInd w:val="0"/>
        <w:spacing w:after="60"/>
        <w:rPr>
          <w:rFonts w:ascii="Calibri" w:hAnsi="Calibri" w:cs="Calibri"/>
          <w:color w:val="000000"/>
          <w:sz w:val="22"/>
          <w:szCs w:val="22"/>
        </w:rPr>
      </w:pPr>
      <w:r w:rsidRPr="005C3A62">
        <w:rPr>
          <w:rFonts w:ascii="Calibri" w:hAnsi="Calibri" w:cs="Calibri"/>
          <w:bCs/>
          <w:color w:val="000000"/>
          <w:sz w:val="22"/>
          <w:szCs w:val="22"/>
        </w:rPr>
        <w:t xml:space="preserve">NTU: </w:t>
      </w:r>
      <w:r w:rsidRPr="005C3A62">
        <w:rPr>
          <w:rFonts w:ascii="Calibri" w:hAnsi="Calibri" w:cs="Calibri"/>
          <w:color w:val="000000"/>
          <w:sz w:val="22"/>
          <w:szCs w:val="22"/>
        </w:rPr>
        <w:t>Nephelometric Turbidity Unit</w:t>
      </w:r>
    </w:p>
    <w:p w14:paraId="4E61D160" w14:textId="77777777" w:rsidR="00202696" w:rsidRPr="005C3A62" w:rsidRDefault="00202696" w:rsidP="00202696">
      <w:pPr>
        <w:spacing w:after="60"/>
        <w:rPr>
          <w:rFonts w:ascii="Calibri" w:hAnsi="Calibri" w:cs="Calibri"/>
          <w:sz w:val="22"/>
          <w:szCs w:val="22"/>
        </w:rPr>
      </w:pPr>
      <w:r w:rsidRPr="005C3A62">
        <w:rPr>
          <w:rFonts w:ascii="Calibri" w:hAnsi="Calibri" w:cs="Calibri"/>
          <w:bCs/>
          <w:color w:val="000000"/>
          <w:sz w:val="22"/>
          <w:szCs w:val="22"/>
        </w:rPr>
        <w:t>pCi/L: p</w:t>
      </w:r>
      <w:r w:rsidRPr="005C3A62">
        <w:rPr>
          <w:rFonts w:ascii="Calibri" w:hAnsi="Calibri" w:cs="Calibri"/>
          <w:color w:val="000000"/>
          <w:sz w:val="22"/>
          <w:szCs w:val="22"/>
        </w:rPr>
        <w:t>icoCurie per Liter</w:t>
      </w:r>
      <w:r w:rsidRPr="005C3A62">
        <w:rPr>
          <w:rFonts w:ascii="Calibri" w:hAnsi="Calibri" w:cs="Calibri"/>
          <w:sz w:val="22"/>
          <w:szCs w:val="22"/>
        </w:rPr>
        <w:t xml:space="preserve"> </w:t>
      </w:r>
    </w:p>
    <w:p w14:paraId="19AA2EBD" w14:textId="77777777" w:rsidR="00202696" w:rsidRPr="005C3A62" w:rsidRDefault="00202696" w:rsidP="00202696">
      <w:pPr>
        <w:autoSpaceDE w:val="0"/>
        <w:autoSpaceDN w:val="0"/>
        <w:adjustRightInd w:val="0"/>
        <w:spacing w:after="60"/>
        <w:rPr>
          <w:rFonts w:ascii="Calibri" w:hAnsi="Calibri" w:cs="Calibri"/>
          <w:color w:val="000000"/>
          <w:sz w:val="22"/>
          <w:szCs w:val="22"/>
        </w:rPr>
      </w:pPr>
      <w:r w:rsidRPr="005C3A62">
        <w:rPr>
          <w:rFonts w:ascii="Calibri" w:hAnsi="Calibri" w:cs="Calibri"/>
          <w:bCs/>
          <w:color w:val="000000"/>
          <w:sz w:val="22"/>
          <w:szCs w:val="22"/>
        </w:rPr>
        <w:t>ppb: p</w:t>
      </w:r>
      <w:r w:rsidRPr="005C3A62">
        <w:rPr>
          <w:rFonts w:ascii="Calibri" w:hAnsi="Calibri" w:cs="Calibri"/>
          <w:color w:val="000000"/>
          <w:sz w:val="22"/>
          <w:szCs w:val="22"/>
        </w:rPr>
        <w:t xml:space="preserve">arts per billion OR </w:t>
      </w:r>
      <w:r w:rsidRPr="005C3A62">
        <w:rPr>
          <w:rFonts w:ascii="Calibri" w:hAnsi="Calibri" w:cs="Calibri"/>
          <w:bCs/>
          <w:color w:val="000000"/>
          <w:sz w:val="22"/>
          <w:szCs w:val="22"/>
        </w:rPr>
        <w:t>ug/L: m</w:t>
      </w:r>
      <w:r w:rsidRPr="005C3A62">
        <w:rPr>
          <w:rFonts w:ascii="Calibri" w:hAnsi="Calibri" w:cs="Calibri"/>
          <w:color w:val="000000"/>
          <w:sz w:val="22"/>
          <w:szCs w:val="22"/>
        </w:rPr>
        <w:t>icrograms per Liter</w:t>
      </w:r>
    </w:p>
    <w:p w14:paraId="5A824A79" w14:textId="2C524F7F" w:rsidR="00846F20" w:rsidRPr="005C3A62" w:rsidRDefault="00846F20" w:rsidP="00202696">
      <w:pPr>
        <w:autoSpaceDE w:val="0"/>
        <w:autoSpaceDN w:val="0"/>
        <w:adjustRightInd w:val="0"/>
        <w:spacing w:after="60"/>
        <w:rPr>
          <w:rFonts w:ascii="Calibri" w:hAnsi="Calibri" w:cs="Calibri"/>
          <w:color w:val="000000"/>
          <w:sz w:val="22"/>
          <w:szCs w:val="22"/>
        </w:rPr>
      </w:pPr>
      <w:r w:rsidRPr="005C3A62">
        <w:rPr>
          <w:rFonts w:ascii="Calibri" w:hAnsi="Calibri" w:cs="Calibri"/>
          <w:color w:val="000000"/>
          <w:sz w:val="22"/>
          <w:szCs w:val="22"/>
        </w:rPr>
        <w:t>ppt: parts per trillion</w:t>
      </w:r>
      <w:r w:rsidR="00F73AB1" w:rsidRPr="005C3A62">
        <w:rPr>
          <w:rFonts w:ascii="Calibri" w:hAnsi="Calibri" w:cs="Calibri"/>
          <w:color w:val="000000"/>
          <w:sz w:val="22"/>
          <w:szCs w:val="22"/>
        </w:rPr>
        <w:t xml:space="preserve"> OR </w:t>
      </w:r>
      <w:r w:rsidR="00F73AB1" w:rsidRPr="005C3A62">
        <w:rPr>
          <w:rFonts w:ascii="Calibri" w:hAnsi="Calibri" w:cs="Calibri"/>
          <w:bCs/>
          <w:color w:val="000000"/>
          <w:sz w:val="22"/>
          <w:szCs w:val="22"/>
        </w:rPr>
        <w:t>ng/L: nano</w:t>
      </w:r>
      <w:r w:rsidR="00F73AB1" w:rsidRPr="005C3A62">
        <w:rPr>
          <w:rFonts w:ascii="Calibri" w:hAnsi="Calibri" w:cs="Calibri"/>
          <w:color w:val="000000"/>
          <w:sz w:val="22"/>
          <w:szCs w:val="22"/>
        </w:rPr>
        <w:t>grams per Liter</w:t>
      </w:r>
    </w:p>
    <w:p w14:paraId="4196A5E2" w14:textId="56DBE427" w:rsidR="00846F20" w:rsidRPr="005C3A62" w:rsidRDefault="00846F20" w:rsidP="00202696">
      <w:pPr>
        <w:autoSpaceDE w:val="0"/>
        <w:autoSpaceDN w:val="0"/>
        <w:adjustRightInd w:val="0"/>
        <w:spacing w:after="60"/>
        <w:rPr>
          <w:rFonts w:ascii="Calibri" w:hAnsi="Calibri" w:cs="Calibri"/>
          <w:i/>
          <w:sz w:val="22"/>
          <w:szCs w:val="22"/>
        </w:rPr>
      </w:pPr>
      <w:r w:rsidRPr="005C3A62">
        <w:rPr>
          <w:rFonts w:ascii="Calibri" w:hAnsi="Calibri" w:cs="Calibri"/>
          <w:color w:val="000000"/>
          <w:sz w:val="22"/>
          <w:szCs w:val="22"/>
        </w:rPr>
        <w:t>ppq: parts per quadrillion</w:t>
      </w:r>
    </w:p>
    <w:p w14:paraId="30CFBA7D" w14:textId="77777777" w:rsidR="00202696" w:rsidRPr="005C3A62" w:rsidRDefault="00202696" w:rsidP="00202696">
      <w:pPr>
        <w:autoSpaceDE w:val="0"/>
        <w:autoSpaceDN w:val="0"/>
        <w:adjustRightInd w:val="0"/>
        <w:spacing w:after="60"/>
        <w:rPr>
          <w:rFonts w:ascii="Calibri" w:hAnsi="Calibri" w:cs="Calibri"/>
          <w:color w:val="000000"/>
          <w:sz w:val="22"/>
          <w:szCs w:val="22"/>
        </w:rPr>
      </w:pPr>
      <w:r w:rsidRPr="005C3A62">
        <w:rPr>
          <w:rFonts w:ascii="Calibri" w:hAnsi="Calibri" w:cs="Calibri"/>
          <w:sz w:val="22"/>
          <w:szCs w:val="22"/>
        </w:rPr>
        <w:t>ppm: parts per million</w:t>
      </w:r>
      <w:r w:rsidRPr="005C3A62">
        <w:rPr>
          <w:rFonts w:ascii="Calibri" w:hAnsi="Calibri" w:cs="Calibri"/>
          <w:bCs/>
          <w:color w:val="000000"/>
          <w:sz w:val="22"/>
          <w:szCs w:val="22"/>
        </w:rPr>
        <w:t xml:space="preserve"> OR mg/L: m</w:t>
      </w:r>
      <w:r w:rsidRPr="005C3A62">
        <w:rPr>
          <w:rFonts w:ascii="Calibri" w:hAnsi="Calibri" w:cs="Calibri"/>
          <w:color w:val="000000"/>
          <w:sz w:val="22"/>
          <w:szCs w:val="22"/>
        </w:rPr>
        <w:t>illigrams per Liter</w:t>
      </w:r>
    </w:p>
    <w:p w14:paraId="2C321F3C" w14:textId="77777777" w:rsidR="00202696" w:rsidRPr="005C3A62" w:rsidRDefault="00202696" w:rsidP="00202696">
      <w:pPr>
        <w:autoSpaceDE w:val="0"/>
        <w:autoSpaceDN w:val="0"/>
        <w:adjustRightInd w:val="0"/>
        <w:spacing w:after="60"/>
        <w:rPr>
          <w:rFonts w:ascii="Calibri" w:hAnsi="Calibri" w:cs="Calibri"/>
          <w:color w:val="000000"/>
          <w:sz w:val="22"/>
          <w:szCs w:val="22"/>
        </w:rPr>
      </w:pPr>
      <w:r w:rsidRPr="005C3A62">
        <w:rPr>
          <w:rFonts w:ascii="Calibri" w:hAnsi="Calibri" w:cs="Calibri"/>
          <w:bCs/>
          <w:color w:val="000000"/>
          <w:sz w:val="22"/>
          <w:szCs w:val="22"/>
        </w:rPr>
        <w:t xml:space="preserve">RAA: </w:t>
      </w:r>
      <w:r w:rsidRPr="005C3A62">
        <w:rPr>
          <w:rFonts w:ascii="Calibri" w:hAnsi="Calibri" w:cs="Calibri"/>
          <w:color w:val="000000"/>
          <w:sz w:val="22"/>
          <w:szCs w:val="22"/>
        </w:rPr>
        <w:t>Running Annual Average</w:t>
      </w:r>
    </w:p>
    <w:p w14:paraId="19E501C3" w14:textId="77777777" w:rsidR="00202696" w:rsidRPr="005C3A62" w:rsidRDefault="00202696" w:rsidP="00202696">
      <w:pPr>
        <w:autoSpaceDE w:val="0"/>
        <w:autoSpaceDN w:val="0"/>
        <w:adjustRightInd w:val="0"/>
        <w:spacing w:after="60"/>
        <w:rPr>
          <w:rFonts w:ascii="Calibri" w:hAnsi="Calibri" w:cs="Calibri"/>
          <w:color w:val="000000"/>
          <w:sz w:val="22"/>
          <w:szCs w:val="22"/>
        </w:rPr>
      </w:pPr>
      <w:r w:rsidRPr="005C3A62">
        <w:rPr>
          <w:rFonts w:ascii="Calibri" w:hAnsi="Calibri" w:cs="Calibri"/>
          <w:bCs/>
          <w:color w:val="000000"/>
          <w:sz w:val="22"/>
          <w:szCs w:val="22"/>
        </w:rPr>
        <w:t xml:space="preserve">TTHM: </w:t>
      </w:r>
      <w:r w:rsidRPr="005C3A62">
        <w:rPr>
          <w:rFonts w:ascii="Calibri" w:hAnsi="Calibri" w:cs="Calibri"/>
          <w:color w:val="000000"/>
          <w:sz w:val="22"/>
          <w:szCs w:val="22"/>
        </w:rPr>
        <w:t>Total Trihalomethanes</w:t>
      </w:r>
    </w:p>
    <w:p w14:paraId="01815BD4" w14:textId="77777777" w:rsidR="00202696" w:rsidRPr="005C3A62" w:rsidRDefault="00202696" w:rsidP="00202696">
      <w:pPr>
        <w:autoSpaceDE w:val="0"/>
        <w:autoSpaceDN w:val="0"/>
        <w:adjustRightInd w:val="0"/>
        <w:rPr>
          <w:rFonts w:ascii="Calibri" w:hAnsi="Calibri" w:cs="Calibri"/>
          <w:color w:val="000000"/>
          <w:sz w:val="22"/>
          <w:szCs w:val="22"/>
        </w:rPr>
      </w:pPr>
      <w:r w:rsidRPr="005C3A62">
        <w:rPr>
          <w:rFonts w:ascii="Calibri" w:hAnsi="Calibri" w:cs="Calibri"/>
          <w:bCs/>
          <w:color w:val="000000"/>
          <w:sz w:val="22"/>
          <w:szCs w:val="22"/>
        </w:rPr>
        <w:t xml:space="preserve">UCMR: </w:t>
      </w:r>
      <w:r w:rsidRPr="005C3A62">
        <w:rPr>
          <w:rFonts w:ascii="Calibri" w:hAnsi="Calibri" w:cs="Calibri"/>
          <w:color w:val="000000"/>
          <w:sz w:val="22"/>
          <w:szCs w:val="22"/>
        </w:rPr>
        <w:t>Unregulated Contaminant Monitoring Rule</w:t>
      </w:r>
    </w:p>
    <w:p w14:paraId="6BAF3CDA" w14:textId="77777777" w:rsidR="008450BC" w:rsidRDefault="008450BC" w:rsidP="00202696">
      <w:pPr>
        <w:sectPr w:rsidR="008450BC" w:rsidSect="004E6478">
          <w:type w:val="continuous"/>
          <w:pgSz w:w="12240" w:h="15840"/>
          <w:pgMar w:top="1440" w:right="1080" w:bottom="1440" w:left="1080" w:header="720" w:footer="720" w:gutter="0"/>
          <w:cols w:num="2" w:space="720"/>
          <w:docGrid w:linePitch="360"/>
        </w:sectPr>
      </w:pPr>
    </w:p>
    <w:p w14:paraId="7661AE42" w14:textId="77777777" w:rsidR="00202696" w:rsidRDefault="00202696" w:rsidP="00202696"/>
    <w:p w14:paraId="525DF594" w14:textId="77777777" w:rsidR="002879AE" w:rsidRDefault="002879AE" w:rsidP="00202696"/>
    <w:p w14:paraId="7FE6E475" w14:textId="77777777" w:rsidR="002879AE" w:rsidRDefault="002879AE" w:rsidP="00202696"/>
    <w:p w14:paraId="7CA1D6C6" w14:textId="77777777" w:rsidR="002879AE" w:rsidRDefault="002879AE" w:rsidP="00202696"/>
    <w:p w14:paraId="4CC527B8" w14:textId="77777777" w:rsidR="002879AE" w:rsidRDefault="002879AE" w:rsidP="00202696"/>
    <w:p w14:paraId="67CAF6DB" w14:textId="77777777" w:rsidR="002879AE" w:rsidRDefault="002879AE" w:rsidP="00202696"/>
    <w:p w14:paraId="233C3226" w14:textId="77777777" w:rsidR="002879AE" w:rsidRDefault="002879AE" w:rsidP="00202696"/>
    <w:p w14:paraId="1907DFC2" w14:textId="77777777" w:rsidR="002879AE" w:rsidRDefault="002879AE" w:rsidP="00202696"/>
    <w:p w14:paraId="03C651D1" w14:textId="77777777" w:rsidR="002879AE" w:rsidRDefault="002879AE" w:rsidP="00202696"/>
    <w:sectPr w:rsidR="002879AE" w:rsidSect="004E6478">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6FB27" w14:textId="77777777" w:rsidR="00231AFC" w:rsidRDefault="00231AFC" w:rsidP="00C834DB">
      <w:r>
        <w:separator/>
      </w:r>
    </w:p>
  </w:endnote>
  <w:endnote w:type="continuationSeparator" w:id="0">
    <w:p w14:paraId="1C68B765" w14:textId="77777777" w:rsidR="00231AFC" w:rsidRDefault="00231AFC" w:rsidP="00C83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8531C" w14:textId="77777777" w:rsidR="00231AFC" w:rsidRDefault="00231AFC" w:rsidP="00C834DB">
      <w:r>
        <w:separator/>
      </w:r>
    </w:p>
  </w:footnote>
  <w:footnote w:type="continuationSeparator" w:id="0">
    <w:p w14:paraId="2F5C708C" w14:textId="77777777" w:rsidR="00231AFC" w:rsidRDefault="00231AFC" w:rsidP="00C83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8073" w14:textId="77777777" w:rsidR="00EF2863" w:rsidRDefault="00EF2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70AE2"/>
    <w:multiLevelType w:val="hybridMultilevel"/>
    <w:tmpl w:val="BE1E3AE2"/>
    <w:lvl w:ilvl="0" w:tplc="FF32CECA">
      <w:start w:val="2021"/>
      <w:numFmt w:val="bullet"/>
      <w:lvlText w:val=""/>
      <w:lvlJc w:val="left"/>
      <w:pPr>
        <w:ind w:left="720" w:hanging="360"/>
      </w:pPr>
      <w:rPr>
        <w:rFonts w:ascii="Symbol" w:eastAsia="Times New Roman" w:hAnsi="Symbol"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8004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BCE"/>
    <w:rsid w:val="000228C4"/>
    <w:rsid w:val="000A46B7"/>
    <w:rsid w:val="000C0F82"/>
    <w:rsid w:val="00112D9B"/>
    <w:rsid w:val="0012481E"/>
    <w:rsid w:val="00132E37"/>
    <w:rsid w:val="00160F68"/>
    <w:rsid w:val="00202696"/>
    <w:rsid w:val="00231AFC"/>
    <w:rsid w:val="00235F3A"/>
    <w:rsid w:val="002879AE"/>
    <w:rsid w:val="00290BCE"/>
    <w:rsid w:val="003D4730"/>
    <w:rsid w:val="0045431F"/>
    <w:rsid w:val="004A425C"/>
    <w:rsid w:val="004E4D55"/>
    <w:rsid w:val="004E6478"/>
    <w:rsid w:val="005A3F9A"/>
    <w:rsid w:val="005A79F0"/>
    <w:rsid w:val="005C3A62"/>
    <w:rsid w:val="005D5B05"/>
    <w:rsid w:val="00686C8F"/>
    <w:rsid w:val="006B712E"/>
    <w:rsid w:val="006C436B"/>
    <w:rsid w:val="00700B66"/>
    <w:rsid w:val="00734036"/>
    <w:rsid w:val="007420BF"/>
    <w:rsid w:val="007642F3"/>
    <w:rsid w:val="0082269C"/>
    <w:rsid w:val="0084308A"/>
    <w:rsid w:val="008450BC"/>
    <w:rsid w:val="00846F20"/>
    <w:rsid w:val="00874466"/>
    <w:rsid w:val="00936D2D"/>
    <w:rsid w:val="00964FDD"/>
    <w:rsid w:val="00A4596F"/>
    <w:rsid w:val="00AF4C1E"/>
    <w:rsid w:val="00B027B6"/>
    <w:rsid w:val="00B55BF9"/>
    <w:rsid w:val="00B57D4B"/>
    <w:rsid w:val="00B9525F"/>
    <w:rsid w:val="00C834DB"/>
    <w:rsid w:val="00CD5579"/>
    <w:rsid w:val="00CE6E89"/>
    <w:rsid w:val="00D163D8"/>
    <w:rsid w:val="00D22DFC"/>
    <w:rsid w:val="00D27C77"/>
    <w:rsid w:val="00E40B32"/>
    <w:rsid w:val="00EF2863"/>
    <w:rsid w:val="00F73AB1"/>
    <w:rsid w:val="00FF7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D8587AB"/>
  <w15:chartTrackingRefBased/>
  <w15:docId w15:val="{31A0BE17-C8F7-4A36-B666-3D33005C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BC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90B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B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B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B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B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B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B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B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B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B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B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B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B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B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B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B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B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BCE"/>
    <w:rPr>
      <w:rFonts w:eastAsiaTheme="majorEastAsia" w:cstheme="majorBidi"/>
      <w:color w:val="272727" w:themeColor="text1" w:themeTint="D8"/>
    </w:rPr>
  </w:style>
  <w:style w:type="paragraph" w:styleId="Title">
    <w:name w:val="Title"/>
    <w:basedOn w:val="Normal"/>
    <w:next w:val="Normal"/>
    <w:link w:val="TitleChar"/>
    <w:uiPriority w:val="10"/>
    <w:qFormat/>
    <w:rsid w:val="00290B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B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B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B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BCE"/>
    <w:pPr>
      <w:spacing w:before="160"/>
      <w:jc w:val="center"/>
    </w:pPr>
    <w:rPr>
      <w:i/>
      <w:iCs/>
      <w:color w:val="404040" w:themeColor="text1" w:themeTint="BF"/>
    </w:rPr>
  </w:style>
  <w:style w:type="character" w:customStyle="1" w:styleId="QuoteChar">
    <w:name w:val="Quote Char"/>
    <w:basedOn w:val="DefaultParagraphFont"/>
    <w:link w:val="Quote"/>
    <w:uiPriority w:val="29"/>
    <w:rsid w:val="00290BCE"/>
    <w:rPr>
      <w:i/>
      <w:iCs/>
      <w:color w:val="404040" w:themeColor="text1" w:themeTint="BF"/>
    </w:rPr>
  </w:style>
  <w:style w:type="paragraph" w:styleId="ListParagraph">
    <w:name w:val="List Paragraph"/>
    <w:basedOn w:val="Normal"/>
    <w:uiPriority w:val="34"/>
    <w:qFormat/>
    <w:rsid w:val="00290BCE"/>
    <w:pPr>
      <w:ind w:left="720"/>
      <w:contextualSpacing/>
    </w:pPr>
  </w:style>
  <w:style w:type="character" w:styleId="IntenseEmphasis">
    <w:name w:val="Intense Emphasis"/>
    <w:basedOn w:val="DefaultParagraphFont"/>
    <w:uiPriority w:val="21"/>
    <w:qFormat/>
    <w:rsid w:val="00290BCE"/>
    <w:rPr>
      <w:i/>
      <w:iCs/>
      <w:color w:val="0F4761" w:themeColor="accent1" w:themeShade="BF"/>
    </w:rPr>
  </w:style>
  <w:style w:type="paragraph" w:styleId="IntenseQuote">
    <w:name w:val="Intense Quote"/>
    <w:basedOn w:val="Normal"/>
    <w:next w:val="Normal"/>
    <w:link w:val="IntenseQuoteChar"/>
    <w:uiPriority w:val="30"/>
    <w:qFormat/>
    <w:rsid w:val="00290B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BCE"/>
    <w:rPr>
      <w:i/>
      <w:iCs/>
      <w:color w:val="0F4761" w:themeColor="accent1" w:themeShade="BF"/>
    </w:rPr>
  </w:style>
  <w:style w:type="character" w:styleId="IntenseReference">
    <w:name w:val="Intense Reference"/>
    <w:basedOn w:val="DefaultParagraphFont"/>
    <w:uiPriority w:val="32"/>
    <w:qFormat/>
    <w:rsid w:val="00290BCE"/>
    <w:rPr>
      <w:b/>
      <w:bCs/>
      <w:smallCaps/>
      <w:color w:val="0F4761" w:themeColor="accent1" w:themeShade="BF"/>
      <w:spacing w:val="5"/>
    </w:rPr>
  </w:style>
  <w:style w:type="character" w:styleId="Hyperlink">
    <w:name w:val="Hyperlink"/>
    <w:rsid w:val="00202696"/>
    <w:rPr>
      <w:color w:val="0000FF"/>
      <w:u w:val="single"/>
    </w:rPr>
  </w:style>
  <w:style w:type="character" w:customStyle="1" w:styleId="et03">
    <w:name w:val="et03"/>
    <w:basedOn w:val="DefaultParagraphFont"/>
    <w:rsid w:val="00202696"/>
  </w:style>
  <w:style w:type="character" w:styleId="CommentReference">
    <w:name w:val="annotation reference"/>
    <w:basedOn w:val="DefaultParagraphFont"/>
    <w:uiPriority w:val="99"/>
    <w:semiHidden/>
    <w:unhideWhenUsed/>
    <w:rsid w:val="005A79F0"/>
    <w:rPr>
      <w:sz w:val="16"/>
      <w:szCs w:val="16"/>
    </w:rPr>
  </w:style>
  <w:style w:type="paragraph" w:styleId="CommentText">
    <w:name w:val="annotation text"/>
    <w:basedOn w:val="Normal"/>
    <w:link w:val="CommentTextChar"/>
    <w:uiPriority w:val="99"/>
    <w:unhideWhenUsed/>
    <w:rsid w:val="005A79F0"/>
    <w:rPr>
      <w:sz w:val="20"/>
      <w:szCs w:val="20"/>
    </w:rPr>
  </w:style>
  <w:style w:type="character" w:customStyle="1" w:styleId="CommentTextChar">
    <w:name w:val="Comment Text Char"/>
    <w:basedOn w:val="DefaultParagraphFont"/>
    <w:link w:val="CommentText"/>
    <w:uiPriority w:val="99"/>
    <w:rsid w:val="005A79F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A79F0"/>
    <w:rPr>
      <w:b/>
      <w:bCs/>
    </w:rPr>
  </w:style>
  <w:style w:type="character" w:customStyle="1" w:styleId="CommentSubjectChar">
    <w:name w:val="Comment Subject Char"/>
    <w:basedOn w:val="CommentTextChar"/>
    <w:link w:val="CommentSubject"/>
    <w:uiPriority w:val="99"/>
    <w:semiHidden/>
    <w:rsid w:val="005A79F0"/>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8450BC"/>
    <w:rPr>
      <w:color w:val="605E5C"/>
      <w:shd w:val="clear" w:color="auto" w:fill="E1DFDD"/>
    </w:rPr>
  </w:style>
  <w:style w:type="character" w:customStyle="1" w:styleId="cf01">
    <w:name w:val="cf01"/>
    <w:basedOn w:val="DefaultParagraphFont"/>
    <w:rsid w:val="004A425C"/>
    <w:rPr>
      <w:rFonts w:ascii="Segoe UI" w:hAnsi="Segoe UI" w:cs="Segoe UI" w:hint="default"/>
      <w:b/>
      <w:bCs/>
      <w:sz w:val="18"/>
      <w:szCs w:val="18"/>
    </w:rPr>
  </w:style>
  <w:style w:type="character" w:customStyle="1" w:styleId="cf11">
    <w:name w:val="cf11"/>
    <w:basedOn w:val="DefaultParagraphFont"/>
    <w:rsid w:val="004A425C"/>
    <w:rPr>
      <w:rFonts w:ascii="Segoe UI" w:hAnsi="Segoe UI" w:cs="Segoe UI" w:hint="default"/>
      <w:sz w:val="18"/>
      <w:szCs w:val="18"/>
    </w:rPr>
  </w:style>
  <w:style w:type="character" w:customStyle="1" w:styleId="cf21">
    <w:name w:val="cf21"/>
    <w:basedOn w:val="DefaultParagraphFont"/>
    <w:rsid w:val="004A425C"/>
    <w:rPr>
      <w:rFonts w:ascii="Segoe UI" w:hAnsi="Segoe UI" w:cs="Segoe UI" w:hint="default"/>
      <w:color w:val="0000FF"/>
      <w:sz w:val="18"/>
      <w:szCs w:val="18"/>
    </w:rPr>
  </w:style>
  <w:style w:type="character" w:customStyle="1" w:styleId="cf31">
    <w:name w:val="cf31"/>
    <w:basedOn w:val="DefaultParagraphFont"/>
    <w:rsid w:val="004A425C"/>
    <w:rPr>
      <w:rFonts w:ascii="Segoe UI" w:hAnsi="Segoe UI" w:cs="Segoe UI" w:hint="default"/>
      <w:color w:val="0000FF"/>
      <w:sz w:val="18"/>
      <w:szCs w:val="18"/>
      <w:shd w:val="clear" w:color="auto" w:fill="FFFF00"/>
    </w:rPr>
  </w:style>
  <w:style w:type="character" w:customStyle="1" w:styleId="cf41">
    <w:name w:val="cf41"/>
    <w:basedOn w:val="DefaultParagraphFont"/>
    <w:rsid w:val="004A425C"/>
    <w:rPr>
      <w:rFonts w:ascii="Segoe UI" w:hAnsi="Segoe UI" w:cs="Segoe UI" w:hint="default"/>
      <w:i/>
      <w:iCs/>
      <w:sz w:val="18"/>
      <w:szCs w:val="18"/>
    </w:rPr>
  </w:style>
  <w:style w:type="character" w:customStyle="1" w:styleId="cf51">
    <w:name w:val="cf51"/>
    <w:basedOn w:val="DefaultParagraphFont"/>
    <w:rsid w:val="004A425C"/>
    <w:rPr>
      <w:rFonts w:ascii="Segoe UI" w:hAnsi="Segoe UI" w:cs="Segoe UI" w:hint="default"/>
      <w:i/>
      <w:iCs/>
      <w:color w:val="0000FF"/>
      <w:sz w:val="18"/>
      <w:szCs w:val="18"/>
    </w:rPr>
  </w:style>
  <w:style w:type="paragraph" w:styleId="Header">
    <w:name w:val="header"/>
    <w:basedOn w:val="Normal"/>
    <w:link w:val="HeaderChar"/>
    <w:uiPriority w:val="99"/>
    <w:unhideWhenUsed/>
    <w:rsid w:val="00C834DB"/>
    <w:pPr>
      <w:tabs>
        <w:tab w:val="center" w:pos="4680"/>
        <w:tab w:val="right" w:pos="9360"/>
      </w:tabs>
    </w:pPr>
  </w:style>
  <w:style w:type="character" w:customStyle="1" w:styleId="HeaderChar">
    <w:name w:val="Header Char"/>
    <w:basedOn w:val="DefaultParagraphFont"/>
    <w:link w:val="Header"/>
    <w:uiPriority w:val="99"/>
    <w:rsid w:val="00C834D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C834DB"/>
    <w:pPr>
      <w:tabs>
        <w:tab w:val="center" w:pos="4680"/>
        <w:tab w:val="right" w:pos="9360"/>
      </w:tabs>
    </w:pPr>
  </w:style>
  <w:style w:type="character" w:customStyle="1" w:styleId="FooterChar">
    <w:name w:val="Footer Char"/>
    <w:basedOn w:val="DefaultParagraphFont"/>
    <w:link w:val="Footer"/>
    <w:uiPriority w:val="99"/>
    <w:rsid w:val="00C834DB"/>
    <w:rPr>
      <w:rFonts w:ascii="Times New Roman" w:eastAsia="Times New Roman" w:hAnsi="Times New Roman" w:cs="Times New Roman"/>
      <w:kern w:val="0"/>
      <w14:ligatures w14:val="none"/>
    </w:rPr>
  </w:style>
  <w:style w:type="paragraph" w:styleId="Revision">
    <w:name w:val="Revision"/>
    <w:hidden/>
    <w:uiPriority w:val="99"/>
    <w:semiHidden/>
    <w:rsid w:val="00112D9B"/>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granite.nhroot.int\shared\des\WD-DrinkingWaterGroundwater\Monitoring\Programs\CCR\Forms\2025%20Forms\tel+800-426-4790" TargetMode="External"/><Relationship Id="rId13" Type="http://schemas.openxmlformats.org/officeDocument/2006/relationships/hyperlink" Target="https://www.gettheleadoutnh.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pa.gov/safewater/lea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s.nh.gov/sites/g/files/ehbemt341/files/documents/goffstown.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des.nh.gov/" TargetMode="External"/><Relationship Id="rId4" Type="http://schemas.openxmlformats.org/officeDocument/2006/relationships/settings" Target="settings.xml"/><Relationship Id="rId9" Type="http://schemas.openxmlformats.org/officeDocument/2006/relationships/hyperlink" Target="file:///\\granite.nhroot.int\shared\des\WD-DrinkingWaterGroundwater\Monitoring\Programs\CCR\Forms\2025%20Forms\tel+1-800-426-4791" TargetMode="External"/><Relationship Id="rId14" Type="http://schemas.openxmlformats.org/officeDocument/2006/relationships/hyperlink" Target="https://www.des.nh.gov/water/drinking-water/lead/schools-and-child-care-programs/view-resul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8CF5F-D1AC-4F3E-A144-8B2297CF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1628</Words>
  <Characters>9020</Characters>
  <Application>Microsoft Office Word</Application>
  <DocSecurity>0</DocSecurity>
  <Lines>563</Lines>
  <Paragraphs>394</Paragraphs>
  <ScaleCrop>false</ScaleCrop>
  <HeadingPairs>
    <vt:vector size="2" baseType="variant">
      <vt:variant>
        <vt:lpstr>Title</vt:lpstr>
      </vt:variant>
      <vt:variant>
        <vt:i4>1</vt:i4>
      </vt:variant>
    </vt:vector>
  </HeadingPairs>
  <TitlesOfParts>
    <vt:vector size="1" baseType="lpstr">
      <vt:lpstr>Consumer Confidence Report Brochure Template</vt:lpstr>
    </vt:vector>
  </TitlesOfParts>
  <Company>State of New Hampshire</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Confidence Report Brochure Template</dc:title>
  <dc:subject/>
  <dc:creator>Morrison, Bess</dc:creator>
  <cp:keywords/>
  <dc:description/>
  <cp:lastModifiedBy>Goffstown Village Precinct</cp:lastModifiedBy>
  <cp:revision>2</cp:revision>
  <dcterms:created xsi:type="dcterms:W3CDTF">2026-07-08T18:33:00Z</dcterms:created>
  <dcterms:modified xsi:type="dcterms:W3CDTF">2026-07-08T18:33:00Z</dcterms:modified>
</cp:coreProperties>
</file>